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eastAsia="宋体" w:cs="Arial"/>
          <w:b/>
          <w:bCs/>
          <w:color w:val="000000"/>
          <w:kern w:val="0"/>
          <w:sz w:val="28"/>
          <w:szCs w:val="28"/>
        </w:rPr>
      </w:pPr>
      <w:r>
        <w:rPr>
          <w:rFonts w:hint="eastAsia" w:ascii="宋体" w:hAnsi="宋体" w:eastAsia="宋体" w:cs="Arial"/>
          <w:b/>
          <w:bCs/>
          <w:color w:val="000000"/>
          <w:kern w:val="0"/>
          <w:sz w:val="28"/>
          <w:szCs w:val="28"/>
        </w:rPr>
        <w:t>第一</w:t>
      </w:r>
      <w:r>
        <w:rPr>
          <w:rFonts w:ascii="宋体" w:hAnsi="宋体" w:eastAsia="宋体" w:cs="Arial"/>
          <w:b/>
          <w:bCs/>
          <w:color w:val="000000"/>
          <w:kern w:val="0"/>
          <w:sz w:val="28"/>
          <w:szCs w:val="28"/>
        </w:rPr>
        <w:t>章</w:t>
      </w:r>
      <w:r>
        <w:rPr>
          <w:rFonts w:hint="eastAsia" w:ascii="宋体" w:hAnsi="宋体" w:eastAsia="宋体" w:cs="Arial"/>
          <w:b/>
          <w:bCs/>
          <w:color w:val="000000"/>
          <w:kern w:val="0"/>
          <w:sz w:val="28"/>
          <w:szCs w:val="28"/>
        </w:rPr>
        <w:t xml:space="preserve">  </w:t>
      </w:r>
      <w:r>
        <w:rPr>
          <w:rFonts w:ascii="宋体" w:hAnsi="宋体" w:eastAsia="宋体" w:cs="Arial"/>
          <w:b/>
          <w:bCs/>
          <w:color w:val="000000"/>
          <w:kern w:val="0"/>
          <w:sz w:val="28"/>
          <w:szCs w:val="28"/>
        </w:rPr>
        <w:t>投标人须知前附表</w:t>
      </w:r>
    </w:p>
    <w:tbl>
      <w:tblPr>
        <w:tblStyle w:val="12"/>
        <w:tblW w:w="0" w:type="auto"/>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
        <w:gridCol w:w="2268"/>
        <w:gridCol w:w="57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4" w:leftChars="-2" w:firstLine="2" w:firstLineChars="1"/>
              <w:jc w:val="center"/>
              <w:rPr>
                <w:rFonts w:ascii="宋体" w:hAnsi="宋体" w:eastAsia="宋体"/>
                <w:b/>
                <w:color w:val="000000"/>
              </w:rPr>
            </w:pPr>
            <w:r>
              <w:rPr>
                <w:rFonts w:ascii="宋体" w:hAnsi="宋体" w:eastAsia="宋体"/>
                <w:b/>
                <w:color w:val="000000"/>
              </w:rPr>
              <w:t>序号</w:t>
            </w:r>
          </w:p>
        </w:tc>
        <w:tc>
          <w:tcPr>
            <w:tcW w:w="2268" w:type="dxa"/>
            <w:vAlign w:val="center"/>
          </w:tcPr>
          <w:p>
            <w:pPr>
              <w:pStyle w:val="10"/>
              <w:widowControl/>
              <w:spacing w:beforeAutospacing="0" w:afterAutospacing="0" w:line="360" w:lineRule="auto"/>
              <w:jc w:val="center"/>
              <w:rPr>
                <w:rFonts w:ascii="宋体" w:hAnsi="宋体" w:eastAsia="宋体"/>
                <w:b/>
                <w:color w:val="000000"/>
              </w:rPr>
            </w:pPr>
            <w:r>
              <w:rPr>
                <w:rFonts w:ascii="宋体" w:hAnsi="宋体" w:eastAsia="宋体"/>
                <w:b/>
                <w:color w:val="000000"/>
              </w:rPr>
              <w:t>内容</w:t>
            </w:r>
          </w:p>
        </w:tc>
        <w:tc>
          <w:tcPr>
            <w:tcW w:w="5720" w:type="dxa"/>
            <w:vAlign w:val="center"/>
          </w:tcPr>
          <w:p>
            <w:pPr>
              <w:pStyle w:val="10"/>
              <w:widowControl/>
              <w:spacing w:beforeAutospacing="0" w:afterAutospacing="0" w:line="360" w:lineRule="auto"/>
              <w:jc w:val="center"/>
              <w:rPr>
                <w:rFonts w:ascii="宋体" w:hAnsi="宋体" w:eastAsia="宋体"/>
                <w:b/>
                <w:color w:val="000000"/>
              </w:rPr>
            </w:pPr>
            <w:r>
              <w:rPr>
                <w:rFonts w:ascii="宋体" w:hAnsi="宋体" w:eastAsia="宋体"/>
                <w:b/>
                <w:color w:val="000000"/>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7" w:leftChars="-13" w:firstLine="28" w:firstLineChars="12"/>
              <w:jc w:val="center"/>
              <w:rPr>
                <w:rFonts w:ascii="宋体" w:hAnsi="宋体" w:eastAsia="宋体"/>
                <w:color w:val="000000"/>
              </w:rPr>
            </w:pPr>
            <w:r>
              <w:rPr>
                <w:rFonts w:ascii="宋体" w:hAnsi="宋体" w:eastAsia="宋体"/>
                <w:color w:val="000000"/>
              </w:rPr>
              <w:t>1</w:t>
            </w:r>
          </w:p>
        </w:tc>
        <w:tc>
          <w:tcPr>
            <w:tcW w:w="2268" w:type="dxa"/>
            <w:vAlign w:val="center"/>
          </w:tcPr>
          <w:p>
            <w:pPr>
              <w:pStyle w:val="10"/>
              <w:widowControl/>
              <w:spacing w:beforeAutospacing="0" w:afterAutospacing="0" w:line="360" w:lineRule="auto"/>
              <w:jc w:val="center"/>
              <w:rPr>
                <w:rFonts w:ascii="宋体" w:hAnsi="宋体" w:eastAsia="宋体"/>
                <w:color w:val="000000"/>
              </w:rPr>
            </w:pPr>
            <w:r>
              <w:rPr>
                <w:rFonts w:ascii="宋体" w:hAnsi="宋体" w:eastAsia="宋体"/>
                <w:color w:val="000000"/>
              </w:rPr>
              <w:t>采购人</w:t>
            </w:r>
          </w:p>
        </w:tc>
        <w:tc>
          <w:tcPr>
            <w:tcW w:w="5720" w:type="dxa"/>
            <w:vAlign w:val="center"/>
          </w:tcPr>
          <w:p>
            <w:pPr>
              <w:pStyle w:val="10"/>
              <w:widowControl/>
              <w:spacing w:beforeAutospacing="0" w:afterAutospacing="0" w:line="360" w:lineRule="auto"/>
              <w:jc w:val="both"/>
              <w:rPr>
                <w:rFonts w:ascii="宋体" w:hAnsi="宋体" w:eastAsia="宋体"/>
                <w:color w:val="000000"/>
              </w:rPr>
            </w:pPr>
            <w:r>
              <w:rPr>
                <w:rStyle w:val="14"/>
                <w:rFonts w:hint="default"/>
              </w:rPr>
              <w:t>合肥体育运动学校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5" w:leftChars="-29" w:hanging="36" w:hangingChars="15"/>
              <w:jc w:val="center"/>
              <w:rPr>
                <w:rFonts w:ascii="宋体" w:hAnsi="宋体" w:eastAsia="宋体"/>
                <w:color w:val="000000"/>
              </w:rPr>
            </w:pPr>
            <w:r>
              <w:rPr>
                <w:rFonts w:ascii="宋体" w:hAnsi="宋体" w:eastAsia="宋体"/>
                <w:color w:val="000000"/>
              </w:rPr>
              <w:t>2</w:t>
            </w:r>
          </w:p>
        </w:tc>
        <w:tc>
          <w:tcPr>
            <w:tcW w:w="2268" w:type="dxa"/>
            <w:vAlign w:val="center"/>
          </w:tcPr>
          <w:p>
            <w:pPr>
              <w:pStyle w:val="10"/>
              <w:widowControl/>
              <w:spacing w:beforeAutospacing="0" w:afterAutospacing="0" w:line="360" w:lineRule="auto"/>
              <w:jc w:val="center"/>
              <w:rPr>
                <w:rFonts w:ascii="宋体" w:hAnsi="宋体" w:eastAsia="宋体"/>
                <w:color w:val="000000"/>
              </w:rPr>
            </w:pPr>
            <w:r>
              <w:rPr>
                <w:rFonts w:ascii="宋体" w:hAnsi="宋体" w:eastAsia="宋体"/>
                <w:color w:val="000000"/>
              </w:rPr>
              <w:t>项目名称</w:t>
            </w:r>
          </w:p>
        </w:tc>
        <w:tc>
          <w:tcPr>
            <w:tcW w:w="5720" w:type="dxa"/>
            <w:vAlign w:val="center"/>
          </w:tcPr>
          <w:p>
            <w:pPr>
              <w:widowControl/>
              <w:spacing w:line="360" w:lineRule="auto"/>
              <w:jc w:val="left"/>
              <w:rPr>
                <w:rFonts w:ascii="宋体" w:hAnsi="宋体" w:eastAsia="宋体" w:cstheme="majorEastAsia"/>
                <w:b/>
                <w:bCs/>
                <w:color w:val="000000"/>
                <w:sz w:val="32"/>
                <w:szCs w:val="32"/>
              </w:rPr>
            </w:pPr>
            <w:r>
              <w:rPr>
                <w:rStyle w:val="14"/>
                <w:rFonts w:hint="default"/>
              </w:rPr>
              <w:t>合肥体育运动学校教学设备采购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spacing w:line="360" w:lineRule="auto"/>
              <w:ind w:left="-4" w:leftChars="-2" w:firstLine="2" w:firstLineChars="1"/>
              <w:jc w:val="center"/>
              <w:rPr>
                <w:rFonts w:ascii="宋体" w:hAnsi="宋体" w:eastAsia="宋体" w:cs="宋体"/>
                <w:bCs/>
                <w:color w:val="000000"/>
                <w:sz w:val="24"/>
              </w:rPr>
            </w:pPr>
            <w:r>
              <w:rPr>
                <w:rFonts w:ascii="宋体" w:hAnsi="宋体" w:eastAsia="宋体" w:cs="宋体"/>
                <w:bCs/>
                <w:color w:val="000000"/>
                <w:sz w:val="24"/>
              </w:rPr>
              <w:t>3</w:t>
            </w:r>
          </w:p>
        </w:tc>
        <w:tc>
          <w:tcPr>
            <w:tcW w:w="2268" w:type="dxa"/>
            <w:vAlign w:val="center"/>
          </w:tcPr>
          <w:p>
            <w:pPr>
              <w:spacing w:line="360" w:lineRule="auto"/>
              <w:jc w:val="center"/>
              <w:rPr>
                <w:rFonts w:ascii="宋体" w:hAnsi="宋体" w:eastAsia="宋体" w:cs="宋体"/>
                <w:color w:val="000000"/>
                <w:sz w:val="24"/>
              </w:rPr>
            </w:pPr>
            <w:r>
              <w:rPr>
                <w:rFonts w:hint="eastAsia" w:ascii="宋体" w:hAnsi="宋体" w:eastAsia="宋体" w:cs="宋体"/>
                <w:color w:val="000000"/>
                <w:sz w:val="24"/>
              </w:rPr>
              <w:t>项目编号</w:t>
            </w:r>
          </w:p>
        </w:tc>
        <w:tc>
          <w:tcPr>
            <w:tcW w:w="5720" w:type="dxa"/>
            <w:vAlign w:val="center"/>
          </w:tcPr>
          <w:p>
            <w:pPr>
              <w:pStyle w:val="4"/>
              <w:spacing w:line="360" w:lineRule="auto"/>
              <w:rPr>
                <w:rFonts w:ascii="宋体" w:hAnsi="宋体" w:eastAsia="宋体" w:cs="宋体"/>
                <w:b w:val="0"/>
                <w:color w:val="000000"/>
                <w:sz w:val="24"/>
              </w:rPr>
            </w:pPr>
            <w:r>
              <w:rPr>
                <w:rFonts w:hint="eastAsia" w:ascii="宋体" w:hAnsi="宋体" w:eastAsia="宋体" w:cs="宋体"/>
                <w:b w:val="0"/>
                <w:color w:val="00000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7" w:leftChars="-13" w:firstLine="28" w:firstLineChars="12"/>
              <w:jc w:val="center"/>
              <w:rPr>
                <w:rFonts w:ascii="宋体" w:hAnsi="宋体" w:eastAsia="宋体"/>
                <w:color w:val="000000"/>
              </w:rPr>
            </w:pPr>
            <w:r>
              <w:rPr>
                <w:rFonts w:hint="eastAsia" w:ascii="宋体" w:hAnsi="宋体" w:eastAsia="宋体"/>
                <w:color w:val="000000"/>
              </w:rPr>
              <w:t>4</w:t>
            </w:r>
          </w:p>
        </w:tc>
        <w:tc>
          <w:tcPr>
            <w:tcW w:w="2268" w:type="dxa"/>
            <w:vAlign w:val="center"/>
          </w:tcPr>
          <w:p>
            <w:pPr>
              <w:pStyle w:val="10"/>
              <w:widowControl/>
              <w:spacing w:beforeAutospacing="0" w:afterAutospacing="0" w:line="360" w:lineRule="auto"/>
              <w:jc w:val="center"/>
              <w:rPr>
                <w:rFonts w:ascii="宋体" w:hAnsi="宋体" w:eastAsia="宋体"/>
                <w:color w:val="000000"/>
              </w:rPr>
            </w:pPr>
            <w:r>
              <w:rPr>
                <w:rFonts w:ascii="宋体" w:hAnsi="宋体" w:eastAsia="宋体"/>
                <w:color w:val="000000"/>
              </w:rPr>
              <w:t>付款方式</w:t>
            </w:r>
          </w:p>
        </w:tc>
        <w:tc>
          <w:tcPr>
            <w:tcW w:w="5720" w:type="dxa"/>
            <w:vAlign w:val="center"/>
          </w:tcPr>
          <w:p>
            <w:pPr>
              <w:pStyle w:val="10"/>
              <w:widowControl/>
              <w:spacing w:beforeAutospacing="0" w:afterAutospacing="0" w:line="360" w:lineRule="auto"/>
              <w:jc w:val="both"/>
              <w:rPr>
                <w:rFonts w:ascii="宋体" w:hAnsi="宋体" w:eastAsia="宋体"/>
                <w:color w:val="000000"/>
              </w:rPr>
            </w:pPr>
            <w:r>
              <w:rPr>
                <w:rFonts w:hint="eastAsia"/>
              </w:rPr>
              <w:t>验收合格后一次性付合同款</w:t>
            </w:r>
            <w:r>
              <w:rPr>
                <w:rFonts w:ascii="宋体" w:hAnsi="宋体" w:eastAsia="宋体"/>
                <w:color w:val="000000" w:themeColor="text1"/>
              </w:rPr>
              <w:t>。投标人需向采购人提供正规发票。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5</w:t>
            </w:r>
          </w:p>
        </w:tc>
        <w:tc>
          <w:tcPr>
            <w:tcW w:w="2268" w:type="dxa"/>
            <w:vAlign w:val="center"/>
          </w:tcPr>
          <w:p>
            <w:pPr>
              <w:pStyle w:val="10"/>
              <w:widowControl/>
              <w:spacing w:beforeAutospacing="0" w:afterAutospacing="0" w:line="360" w:lineRule="auto"/>
              <w:jc w:val="center"/>
              <w:rPr>
                <w:rFonts w:ascii="宋体" w:hAnsi="宋体" w:eastAsia="宋体"/>
                <w:color w:val="000000"/>
              </w:rPr>
            </w:pPr>
            <w:r>
              <w:rPr>
                <w:rFonts w:ascii="宋体" w:hAnsi="宋体" w:eastAsia="宋体"/>
                <w:color w:val="000000"/>
              </w:rPr>
              <w:t>地点</w:t>
            </w:r>
          </w:p>
        </w:tc>
        <w:tc>
          <w:tcPr>
            <w:tcW w:w="5720" w:type="dxa"/>
            <w:vAlign w:val="center"/>
          </w:tcPr>
          <w:p>
            <w:pPr>
              <w:pStyle w:val="10"/>
              <w:widowControl/>
              <w:spacing w:beforeAutospacing="0" w:afterAutospacing="0" w:line="360" w:lineRule="auto"/>
              <w:jc w:val="both"/>
              <w:rPr>
                <w:rFonts w:ascii="宋体" w:hAnsi="宋体" w:eastAsia="宋体"/>
                <w:color w:val="000000"/>
              </w:rPr>
            </w:pPr>
            <w:r>
              <w:rPr>
                <w:rFonts w:hint="eastAsia" w:ascii="宋体" w:hAnsi="宋体" w:eastAsia="宋体"/>
                <w:color w:val="000000" w:themeColor="text1"/>
              </w:rPr>
              <w:t>合肥市青阳路7号（合肥体育运动学校），采购人指定地点。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6</w:t>
            </w:r>
          </w:p>
        </w:tc>
        <w:tc>
          <w:tcPr>
            <w:tcW w:w="2268" w:type="dxa"/>
            <w:vAlign w:val="center"/>
          </w:tcPr>
          <w:p>
            <w:pPr>
              <w:spacing w:line="360" w:lineRule="auto"/>
              <w:jc w:val="center"/>
              <w:rPr>
                <w:rFonts w:ascii="宋体" w:hAnsi="宋体" w:eastAsia="宋体"/>
                <w:color w:val="000000" w:themeColor="text1"/>
                <w:sz w:val="24"/>
              </w:rPr>
            </w:pPr>
            <w:r>
              <w:rPr>
                <w:rFonts w:hint="eastAsia" w:ascii="宋体" w:hAnsi="宋体" w:eastAsia="宋体"/>
                <w:color w:val="000000" w:themeColor="text1"/>
                <w:sz w:val="24"/>
              </w:rPr>
              <w:t>本项目采购标的所属行业</w:t>
            </w:r>
          </w:p>
        </w:tc>
        <w:tc>
          <w:tcPr>
            <w:tcW w:w="5720" w:type="dxa"/>
            <w:vAlign w:val="center"/>
          </w:tcPr>
          <w:p>
            <w:pPr>
              <w:spacing w:line="360" w:lineRule="auto"/>
              <w:rPr>
                <w:rFonts w:ascii="宋体" w:hAnsi="宋体" w:eastAsia="宋体"/>
                <w:color w:val="000000" w:themeColor="text1"/>
                <w:sz w:val="24"/>
              </w:rPr>
            </w:pPr>
            <w:r>
              <w:rPr>
                <w:rFonts w:hint="eastAsia" w:ascii="宋体" w:hAnsi="宋体" w:eastAsia="宋体"/>
                <w:color w:val="000000" w:themeColor="text1"/>
                <w:sz w:val="24"/>
              </w:rPr>
              <w:t>信息化。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7</w:t>
            </w:r>
          </w:p>
        </w:tc>
        <w:tc>
          <w:tcPr>
            <w:tcW w:w="2268" w:type="dxa"/>
            <w:vAlign w:val="center"/>
          </w:tcPr>
          <w:p>
            <w:pPr>
              <w:pStyle w:val="10"/>
              <w:widowControl/>
              <w:spacing w:beforeAutospacing="0" w:afterAutospacing="0" w:line="360" w:lineRule="auto"/>
              <w:jc w:val="center"/>
              <w:rPr>
                <w:rFonts w:ascii="宋体" w:hAnsi="宋体" w:eastAsia="宋体"/>
                <w:color w:val="000000"/>
              </w:rPr>
            </w:pPr>
            <w:r>
              <w:rPr>
                <w:rFonts w:ascii="宋体" w:hAnsi="宋体" w:eastAsia="宋体"/>
                <w:color w:val="000000"/>
              </w:rPr>
              <w:t>勘察现场</w:t>
            </w:r>
          </w:p>
        </w:tc>
        <w:tc>
          <w:tcPr>
            <w:tcW w:w="5720" w:type="dxa"/>
          </w:tcPr>
          <w:p>
            <w:pPr>
              <w:pStyle w:val="10"/>
              <w:widowControl/>
              <w:spacing w:beforeAutospacing="0" w:afterAutospacing="0" w:line="360" w:lineRule="auto"/>
              <w:jc w:val="both"/>
              <w:rPr>
                <w:rFonts w:ascii="宋体" w:hAnsi="宋体" w:eastAsia="宋体"/>
                <w:b/>
              </w:rPr>
            </w:pPr>
            <w:r>
              <w:rPr>
                <w:rFonts w:hint="eastAsia" w:ascii="宋体" w:hAnsi="宋体" w:eastAsia="宋体"/>
              </w:rPr>
              <w:t>截止</w:t>
            </w:r>
            <w:r>
              <w:rPr>
                <w:rFonts w:ascii="宋体" w:hAnsi="宋体" w:eastAsia="宋体"/>
              </w:rPr>
              <w:t>时间：</w:t>
            </w:r>
            <w:r>
              <w:rPr>
                <w:rFonts w:hint="eastAsia" w:ascii="宋体" w:hAnsi="宋体" w:eastAsia="宋体"/>
              </w:rPr>
              <w:t>2024年0</w:t>
            </w:r>
            <w:r>
              <w:rPr>
                <w:rFonts w:hint="eastAsia" w:ascii="宋体" w:hAnsi="宋体" w:eastAsia="宋体"/>
                <w:lang w:val="en-US" w:eastAsia="zh-CN"/>
              </w:rPr>
              <w:t>4</w:t>
            </w:r>
            <w:r>
              <w:rPr>
                <w:rFonts w:hint="eastAsia" w:ascii="宋体" w:hAnsi="宋体" w:eastAsia="宋体"/>
              </w:rPr>
              <w:t>月</w:t>
            </w:r>
            <w:r>
              <w:rPr>
                <w:rFonts w:hint="eastAsia" w:ascii="宋体" w:hAnsi="宋体" w:eastAsia="宋体"/>
                <w:lang w:val="en-US" w:eastAsia="zh-CN"/>
              </w:rPr>
              <w:t>9</w:t>
            </w:r>
            <w:r>
              <w:rPr>
                <w:rFonts w:hint="eastAsia" w:ascii="宋体" w:hAnsi="宋体" w:eastAsia="宋体"/>
              </w:rPr>
              <w:t xml:space="preserve">日 </w:t>
            </w:r>
            <w:bookmarkStart w:id="6" w:name="_GoBack"/>
            <w:bookmarkEnd w:id="6"/>
          </w:p>
          <w:p>
            <w:pPr>
              <w:pStyle w:val="10"/>
              <w:widowControl/>
              <w:spacing w:beforeAutospacing="0" w:afterAutospacing="0" w:line="360" w:lineRule="auto"/>
              <w:jc w:val="both"/>
              <w:rPr>
                <w:rFonts w:ascii="宋体" w:hAnsi="宋体" w:eastAsia="宋体"/>
                <w:color w:val="000000"/>
              </w:rPr>
            </w:pPr>
            <w:r>
              <w:rPr>
                <w:rFonts w:hint="eastAsia" w:ascii="宋体" w:hAnsi="宋体" w:eastAsia="宋体" w:cstheme="minorBidi"/>
              </w:rPr>
              <w:t>地点：合肥体育运动学校教务处。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5" w:leftChars="-29" w:hanging="36" w:hangingChars="15"/>
              <w:jc w:val="center"/>
              <w:rPr>
                <w:rFonts w:ascii="宋体" w:hAnsi="宋体" w:eastAsia="宋体"/>
                <w:color w:val="000000"/>
              </w:rPr>
            </w:pPr>
            <w:r>
              <w:rPr>
                <w:rFonts w:hint="eastAsia" w:ascii="宋体" w:hAnsi="宋体" w:eastAsia="宋体"/>
                <w:color w:val="000000"/>
              </w:rPr>
              <w:t>8</w:t>
            </w:r>
          </w:p>
        </w:tc>
        <w:tc>
          <w:tcPr>
            <w:tcW w:w="2268" w:type="dxa"/>
            <w:vAlign w:val="center"/>
          </w:tcPr>
          <w:p>
            <w:pPr>
              <w:pStyle w:val="10"/>
              <w:widowControl/>
              <w:spacing w:beforeAutospacing="0" w:afterAutospacing="0" w:line="360" w:lineRule="auto"/>
              <w:jc w:val="center"/>
              <w:rPr>
                <w:rFonts w:ascii="宋体" w:hAnsi="宋体" w:eastAsia="宋体"/>
                <w:color w:val="000000"/>
              </w:rPr>
            </w:pPr>
            <w:r>
              <w:rPr>
                <w:rFonts w:ascii="宋体" w:hAnsi="宋体" w:eastAsia="宋体"/>
                <w:color w:val="000000"/>
              </w:rPr>
              <w:t>标书份数及要求</w:t>
            </w:r>
          </w:p>
        </w:tc>
        <w:tc>
          <w:tcPr>
            <w:tcW w:w="5720" w:type="dxa"/>
            <w:vAlign w:val="center"/>
          </w:tcPr>
          <w:p>
            <w:pPr>
              <w:pStyle w:val="10"/>
              <w:widowControl/>
              <w:spacing w:beforeAutospacing="0" w:afterAutospacing="0" w:line="360" w:lineRule="auto"/>
              <w:jc w:val="both"/>
              <w:rPr>
                <w:rFonts w:ascii="宋体" w:hAnsi="宋体" w:eastAsia="宋体"/>
                <w:color w:val="000000"/>
              </w:rPr>
            </w:pPr>
            <w:r>
              <w:rPr>
                <w:rFonts w:ascii="宋体" w:hAnsi="宋体" w:eastAsia="宋体"/>
                <w:color w:val="000000"/>
              </w:rPr>
              <w:t>投标文件：正本</w:t>
            </w:r>
            <w:r>
              <w:rPr>
                <w:rFonts w:ascii="宋体" w:hAnsi="宋体" w:eastAsia="宋体"/>
                <w:color w:val="000000"/>
                <w:u w:val="single"/>
              </w:rPr>
              <w:t> 1 </w:t>
            </w:r>
            <w:r>
              <w:rPr>
                <w:rFonts w:ascii="宋体" w:hAnsi="宋体" w:eastAsia="宋体"/>
                <w:color w:val="000000"/>
              </w:rPr>
              <w:t>份；副本</w:t>
            </w:r>
            <w:r>
              <w:rPr>
                <w:rFonts w:ascii="宋体" w:hAnsi="宋体" w:eastAsia="宋体"/>
                <w:color w:val="000000"/>
                <w:u w:val="single"/>
              </w:rPr>
              <w:t> 2 </w:t>
            </w:r>
            <w:r>
              <w:rPr>
                <w:rFonts w:ascii="宋体" w:hAnsi="宋体" w:eastAsia="宋体"/>
                <w:color w:val="000000"/>
              </w:rPr>
              <w:t>份，密封提交。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5" w:leftChars="-29" w:hanging="36" w:hangingChars="15"/>
              <w:jc w:val="center"/>
              <w:rPr>
                <w:rFonts w:ascii="宋体" w:hAnsi="宋体" w:eastAsia="宋体"/>
                <w:color w:val="000000"/>
              </w:rPr>
            </w:pPr>
            <w:r>
              <w:rPr>
                <w:rFonts w:ascii="宋体" w:hAnsi="宋体" w:eastAsia="宋体"/>
                <w:color w:val="000000"/>
              </w:rPr>
              <w:t>9</w:t>
            </w:r>
          </w:p>
        </w:tc>
        <w:tc>
          <w:tcPr>
            <w:tcW w:w="2268" w:type="dxa"/>
            <w:vAlign w:val="center"/>
          </w:tcPr>
          <w:p>
            <w:pPr>
              <w:pStyle w:val="10"/>
              <w:widowControl/>
              <w:spacing w:beforeAutospacing="0" w:afterAutospacing="0" w:line="360" w:lineRule="auto"/>
              <w:jc w:val="center"/>
              <w:rPr>
                <w:rFonts w:ascii="宋体" w:hAnsi="宋体" w:eastAsia="宋体"/>
                <w:color w:val="000000"/>
              </w:rPr>
            </w:pPr>
            <w:r>
              <w:rPr>
                <w:rFonts w:ascii="宋体" w:hAnsi="宋体" w:eastAsia="宋体"/>
                <w:color w:val="000000"/>
              </w:rPr>
              <w:t>评标办法</w:t>
            </w:r>
          </w:p>
        </w:tc>
        <w:tc>
          <w:tcPr>
            <w:tcW w:w="5720" w:type="dxa"/>
            <w:vAlign w:val="center"/>
          </w:tcPr>
          <w:p>
            <w:pPr>
              <w:pStyle w:val="10"/>
              <w:widowControl/>
              <w:spacing w:beforeAutospacing="0" w:afterAutospacing="0" w:line="360" w:lineRule="auto"/>
              <w:jc w:val="both"/>
              <w:rPr>
                <w:rFonts w:ascii="宋体" w:hAnsi="宋体" w:eastAsia="宋体"/>
                <w:color w:val="000000"/>
              </w:rPr>
            </w:pPr>
            <w:r>
              <w:rPr>
                <w:rFonts w:ascii="宋体" w:hAnsi="宋体" w:eastAsia="宋体"/>
                <w:color w:val="000000"/>
              </w:rPr>
              <w:t>综合评分法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 w:type="dxa"/>
            <w:vAlign w:val="center"/>
          </w:tcPr>
          <w:p>
            <w:pPr>
              <w:pStyle w:val="10"/>
              <w:widowControl/>
              <w:spacing w:beforeAutospacing="0" w:afterAutospacing="0" w:line="360" w:lineRule="auto"/>
              <w:ind w:left="-25" w:leftChars="-29" w:hanging="36" w:hangingChars="15"/>
              <w:jc w:val="center"/>
              <w:rPr>
                <w:rFonts w:ascii="宋体" w:hAnsi="宋体" w:eastAsia="宋体"/>
                <w:color w:val="000000"/>
              </w:rPr>
            </w:pPr>
            <w:r>
              <w:rPr>
                <w:rFonts w:ascii="宋体" w:hAnsi="宋体" w:eastAsia="宋体"/>
                <w:color w:val="000000"/>
              </w:rPr>
              <w:t>10</w:t>
            </w:r>
          </w:p>
        </w:tc>
        <w:tc>
          <w:tcPr>
            <w:tcW w:w="2268" w:type="dxa"/>
            <w:vAlign w:val="center"/>
          </w:tcPr>
          <w:p>
            <w:pPr>
              <w:pStyle w:val="10"/>
              <w:widowControl/>
              <w:spacing w:beforeAutospacing="0" w:afterAutospacing="0" w:line="360" w:lineRule="auto"/>
              <w:jc w:val="center"/>
              <w:rPr>
                <w:rFonts w:ascii="宋体" w:hAnsi="宋体" w:eastAsia="宋体"/>
                <w:color w:val="000000"/>
              </w:rPr>
            </w:pPr>
            <w:r>
              <w:rPr>
                <w:rFonts w:ascii="宋体" w:hAnsi="宋体" w:eastAsia="宋体"/>
                <w:color w:val="000000"/>
              </w:rPr>
              <w:t>采购人联系方式</w:t>
            </w:r>
          </w:p>
        </w:tc>
        <w:tc>
          <w:tcPr>
            <w:tcW w:w="5720" w:type="dxa"/>
            <w:vAlign w:val="center"/>
          </w:tcPr>
          <w:p>
            <w:pPr>
              <w:pStyle w:val="10"/>
              <w:widowControl/>
              <w:spacing w:beforeAutospacing="0" w:afterAutospacing="0" w:line="360" w:lineRule="auto"/>
              <w:jc w:val="both"/>
              <w:rPr>
                <w:rFonts w:ascii="宋体" w:hAnsi="宋体" w:eastAsia="宋体"/>
                <w:color w:val="FF0000"/>
              </w:rPr>
            </w:pPr>
            <w:r>
              <w:rPr>
                <w:rFonts w:ascii="宋体" w:hAnsi="宋体" w:eastAsia="宋体"/>
                <w:color w:val="000000"/>
              </w:rPr>
              <w:t>联系人及联系电话：</w:t>
            </w:r>
            <w:r>
              <w:rPr>
                <w:rFonts w:hint="eastAsia" w:ascii="宋体" w:hAnsi="宋体" w:eastAsia="宋体"/>
                <w:color w:val="000000"/>
              </w:rPr>
              <w:t>陈老师，</w:t>
            </w:r>
            <w:r>
              <w:rPr>
                <w:rFonts w:ascii="宋体" w:hAnsi="宋体" w:eastAsia="宋体"/>
              </w:rPr>
              <w:t>0551</w:t>
            </w:r>
            <w:r>
              <w:rPr>
                <w:rFonts w:hint="eastAsia" w:ascii="宋体" w:hAnsi="宋体" w:eastAsia="宋体"/>
              </w:rPr>
              <w:t>-</w:t>
            </w:r>
            <w:r>
              <w:rPr>
                <w:rFonts w:ascii="宋体" w:hAnsi="宋体" w:eastAsia="宋体"/>
              </w:rPr>
              <w:t>65561602</w:t>
            </w:r>
          </w:p>
        </w:tc>
      </w:tr>
    </w:tbl>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widowControl/>
        <w:spacing w:line="360" w:lineRule="auto"/>
        <w:rPr>
          <w:rFonts w:ascii="宋体" w:hAnsi="宋体" w:eastAsia="宋体" w:cs="宋体"/>
          <w:b/>
          <w:bCs/>
          <w:color w:val="000000"/>
          <w:kern w:val="0"/>
          <w:sz w:val="28"/>
          <w:szCs w:val="28"/>
        </w:rPr>
      </w:pPr>
    </w:p>
    <w:p>
      <w:pPr>
        <w:spacing w:line="360" w:lineRule="auto"/>
        <w:ind w:firstLine="281" w:firstLineChars="100"/>
        <w:jc w:val="center"/>
        <w:rPr>
          <w:rFonts w:ascii="宋体" w:hAnsi="宋体" w:eastAsia="宋体" w:cs="Times New Roman"/>
          <w:sz w:val="24"/>
        </w:rPr>
      </w:pPr>
      <w:r>
        <w:rPr>
          <w:rFonts w:hint="eastAsia" w:ascii="宋体" w:hAnsi="宋体" w:eastAsia="宋体" w:cs="Arial"/>
          <w:b/>
          <w:bCs/>
          <w:color w:val="000000"/>
          <w:kern w:val="0"/>
          <w:sz w:val="28"/>
          <w:szCs w:val="28"/>
        </w:rPr>
        <w:t>第二</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采购需求</w:t>
      </w:r>
    </w:p>
    <w:p>
      <w:pPr>
        <w:spacing w:line="360" w:lineRule="auto"/>
        <w:ind w:firstLine="241" w:firstLineChars="100"/>
        <w:jc w:val="left"/>
        <w:rPr>
          <w:rFonts w:ascii="宋体" w:hAnsi="宋体" w:eastAsia="宋体" w:cs="Times New Roman"/>
          <w:b/>
          <w:sz w:val="24"/>
        </w:rPr>
      </w:pPr>
      <w:r>
        <w:rPr>
          <w:rFonts w:hint="eastAsia" w:ascii="宋体" w:hAnsi="宋体" w:eastAsia="宋体" w:cs="Times New Roman"/>
          <w:b/>
          <w:sz w:val="24"/>
        </w:rPr>
        <w:t>1、采购需求前附表</w:t>
      </w:r>
    </w:p>
    <w:tbl>
      <w:tblPr>
        <w:tblStyle w:val="12"/>
        <w:tblW w:w="104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1"/>
        <w:gridCol w:w="2268"/>
        <w:gridCol w:w="71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Pr>
          <w:p>
            <w:pPr>
              <w:spacing w:line="360" w:lineRule="auto"/>
              <w:jc w:val="center"/>
              <w:rPr>
                <w:rFonts w:ascii="宋体" w:hAnsi="宋体" w:eastAsia="宋体" w:cs="Arial"/>
                <w:b/>
                <w:sz w:val="22"/>
                <w:szCs w:val="22"/>
              </w:rPr>
            </w:pPr>
            <w:r>
              <w:rPr>
                <w:rFonts w:hint="eastAsia" w:ascii="宋体" w:hAnsi="宋体" w:eastAsia="宋体" w:cs="Arial"/>
                <w:b/>
                <w:sz w:val="22"/>
                <w:szCs w:val="22"/>
              </w:rPr>
              <w:t>序号</w:t>
            </w:r>
          </w:p>
        </w:tc>
        <w:tc>
          <w:tcPr>
            <w:tcW w:w="2268" w:type="dxa"/>
          </w:tcPr>
          <w:p>
            <w:pPr>
              <w:spacing w:line="360" w:lineRule="auto"/>
              <w:jc w:val="center"/>
              <w:rPr>
                <w:rFonts w:ascii="宋体" w:hAnsi="宋体" w:eastAsia="宋体" w:cs="Arial"/>
                <w:b/>
                <w:sz w:val="22"/>
                <w:szCs w:val="22"/>
              </w:rPr>
            </w:pPr>
            <w:r>
              <w:rPr>
                <w:rFonts w:hint="eastAsia" w:ascii="宋体" w:hAnsi="宋体" w:eastAsia="宋体" w:cs="Arial"/>
                <w:b/>
                <w:sz w:val="22"/>
                <w:szCs w:val="22"/>
              </w:rPr>
              <w:t>条款名称</w:t>
            </w:r>
          </w:p>
        </w:tc>
        <w:tc>
          <w:tcPr>
            <w:tcW w:w="7123" w:type="dxa"/>
          </w:tcPr>
          <w:p>
            <w:pPr>
              <w:spacing w:line="360" w:lineRule="auto"/>
              <w:jc w:val="center"/>
              <w:rPr>
                <w:rFonts w:ascii="宋体" w:hAnsi="宋体" w:eastAsia="宋体" w:cs="Arial"/>
                <w:b/>
                <w:sz w:val="22"/>
                <w:szCs w:val="22"/>
              </w:rPr>
            </w:pPr>
            <w:r>
              <w:rPr>
                <w:rFonts w:hint="eastAsia" w:ascii="宋体" w:hAnsi="宋体" w:eastAsia="宋体" w:cs="Arial"/>
                <w:b/>
                <w:sz w:val="22"/>
                <w:szCs w:val="22"/>
              </w:rPr>
              <w:t>内容、说明与要求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Pr>
          <w:p>
            <w:pPr>
              <w:spacing w:line="360" w:lineRule="auto"/>
              <w:jc w:val="center"/>
              <w:rPr>
                <w:rFonts w:ascii="宋体" w:hAnsi="Times New Roman" w:eastAsia="宋体" w:cs="宋体"/>
                <w:color w:val="000000"/>
                <w:kern w:val="0"/>
                <w:sz w:val="22"/>
                <w:szCs w:val="22"/>
              </w:rPr>
            </w:pPr>
            <w:r>
              <w:rPr>
                <w:rFonts w:hint="eastAsia" w:ascii="宋体" w:hAnsi="Times New Roman" w:eastAsia="宋体" w:cs="宋体"/>
                <w:color w:val="000000"/>
                <w:kern w:val="0"/>
                <w:sz w:val="22"/>
                <w:szCs w:val="22"/>
              </w:rPr>
              <w:t>1</w:t>
            </w:r>
          </w:p>
        </w:tc>
        <w:tc>
          <w:tcPr>
            <w:tcW w:w="2268" w:type="dxa"/>
            <w:vAlign w:val="center"/>
          </w:tcPr>
          <w:p>
            <w:pPr>
              <w:pStyle w:val="20"/>
              <w:rPr>
                <w:sz w:val="22"/>
                <w:szCs w:val="22"/>
              </w:rPr>
            </w:pPr>
            <w:r>
              <w:rPr>
                <w:rFonts w:hint="eastAsia"/>
                <w:sz w:val="22"/>
                <w:szCs w:val="22"/>
              </w:rPr>
              <w:t>付款方式</w:t>
            </w:r>
          </w:p>
        </w:tc>
        <w:tc>
          <w:tcPr>
            <w:tcW w:w="7123" w:type="dxa"/>
            <w:vAlign w:val="center"/>
          </w:tcPr>
          <w:p>
            <w:pPr>
              <w:pStyle w:val="20"/>
              <w:rPr>
                <w:sz w:val="22"/>
                <w:szCs w:val="22"/>
              </w:rPr>
            </w:pPr>
            <w:r>
              <w:rPr>
                <w:rFonts w:hint="eastAsia"/>
                <w:sz w:val="22"/>
                <w:szCs w:val="22"/>
              </w:rPr>
              <w:t>验收合格后一次性付合同款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Pr>
          <w:p>
            <w:pPr>
              <w:spacing w:line="360" w:lineRule="auto"/>
              <w:jc w:val="center"/>
              <w:rPr>
                <w:rFonts w:ascii="宋体" w:hAnsi="Times New Roman" w:eastAsia="宋体" w:cs="宋体"/>
                <w:color w:val="000000"/>
                <w:kern w:val="0"/>
                <w:sz w:val="22"/>
                <w:szCs w:val="22"/>
              </w:rPr>
            </w:pPr>
            <w:r>
              <w:rPr>
                <w:rFonts w:hint="eastAsia" w:ascii="宋体" w:hAnsi="Times New Roman" w:eastAsia="宋体" w:cs="宋体"/>
                <w:color w:val="000000"/>
                <w:kern w:val="0"/>
                <w:sz w:val="22"/>
                <w:szCs w:val="22"/>
              </w:rPr>
              <w:t>2</w:t>
            </w:r>
          </w:p>
        </w:tc>
        <w:tc>
          <w:tcPr>
            <w:tcW w:w="2268" w:type="dxa"/>
            <w:vAlign w:val="center"/>
          </w:tcPr>
          <w:p>
            <w:pPr>
              <w:pStyle w:val="20"/>
              <w:rPr>
                <w:sz w:val="22"/>
                <w:szCs w:val="22"/>
              </w:rPr>
            </w:pPr>
            <w:r>
              <w:rPr>
                <w:rFonts w:hint="eastAsia"/>
                <w:sz w:val="22"/>
                <w:szCs w:val="22"/>
              </w:rPr>
              <w:t>供货及安装地点</w:t>
            </w:r>
          </w:p>
        </w:tc>
        <w:tc>
          <w:tcPr>
            <w:tcW w:w="7123" w:type="dxa"/>
            <w:vAlign w:val="center"/>
          </w:tcPr>
          <w:p>
            <w:pPr>
              <w:pStyle w:val="20"/>
              <w:rPr>
                <w:sz w:val="22"/>
                <w:szCs w:val="22"/>
              </w:rPr>
            </w:pPr>
            <w:r>
              <w:rPr>
                <w:rFonts w:hint="eastAsia"/>
                <w:sz w:val="22"/>
                <w:szCs w:val="22"/>
              </w:rPr>
              <w:t>合肥体育运动学校，采购人指定地点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Pr>
          <w:p>
            <w:pPr>
              <w:spacing w:line="360" w:lineRule="auto"/>
              <w:jc w:val="center"/>
              <w:rPr>
                <w:rFonts w:ascii="宋体" w:hAnsi="Times New Roman" w:eastAsia="宋体" w:cs="宋体"/>
                <w:color w:val="000000"/>
                <w:kern w:val="0"/>
                <w:sz w:val="22"/>
                <w:szCs w:val="22"/>
              </w:rPr>
            </w:pPr>
            <w:r>
              <w:rPr>
                <w:rFonts w:hint="eastAsia" w:ascii="宋体" w:hAnsi="Times New Roman" w:eastAsia="宋体" w:cs="宋体"/>
                <w:color w:val="000000"/>
                <w:kern w:val="0"/>
                <w:sz w:val="22"/>
                <w:szCs w:val="22"/>
              </w:rPr>
              <w:t>3</w:t>
            </w:r>
          </w:p>
        </w:tc>
        <w:tc>
          <w:tcPr>
            <w:tcW w:w="2268" w:type="dxa"/>
            <w:vAlign w:val="center"/>
          </w:tcPr>
          <w:p>
            <w:pPr>
              <w:pStyle w:val="20"/>
              <w:rPr>
                <w:sz w:val="22"/>
                <w:szCs w:val="22"/>
              </w:rPr>
            </w:pPr>
            <w:r>
              <w:rPr>
                <w:rFonts w:hint="eastAsia"/>
                <w:sz w:val="22"/>
                <w:szCs w:val="22"/>
              </w:rPr>
              <w:t>供货及安装期限</w:t>
            </w:r>
          </w:p>
        </w:tc>
        <w:tc>
          <w:tcPr>
            <w:tcW w:w="7123" w:type="dxa"/>
            <w:vAlign w:val="center"/>
          </w:tcPr>
          <w:p>
            <w:pPr>
              <w:pStyle w:val="20"/>
              <w:rPr>
                <w:sz w:val="22"/>
                <w:szCs w:val="22"/>
              </w:rPr>
            </w:pPr>
            <w:r>
              <w:rPr>
                <w:rFonts w:hint="eastAsia"/>
                <w:sz w:val="22"/>
                <w:szCs w:val="22"/>
              </w:rPr>
              <w:t>合同生效后</w:t>
            </w:r>
            <w:r>
              <w:rPr>
                <w:sz w:val="22"/>
                <w:szCs w:val="22"/>
              </w:rPr>
              <w:t>7</w:t>
            </w:r>
            <w:r>
              <w:rPr>
                <w:rFonts w:hint="eastAsia"/>
                <w:sz w:val="22"/>
                <w:szCs w:val="22"/>
              </w:rPr>
              <w:t>个日历日内完成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01" w:type="dxa"/>
          </w:tcPr>
          <w:p>
            <w:pPr>
              <w:spacing w:line="360" w:lineRule="auto"/>
              <w:jc w:val="center"/>
              <w:rPr>
                <w:rFonts w:ascii="宋体" w:hAnsi="Times New Roman" w:eastAsia="宋体" w:cs="宋体"/>
                <w:color w:val="000000"/>
                <w:kern w:val="0"/>
                <w:sz w:val="22"/>
                <w:szCs w:val="22"/>
              </w:rPr>
            </w:pPr>
            <w:r>
              <w:rPr>
                <w:rFonts w:hint="eastAsia" w:ascii="宋体" w:hAnsi="Times New Roman" w:eastAsia="宋体" w:cs="宋体"/>
                <w:color w:val="000000"/>
                <w:kern w:val="0"/>
                <w:sz w:val="22"/>
                <w:szCs w:val="22"/>
              </w:rPr>
              <w:t>4</w:t>
            </w:r>
          </w:p>
        </w:tc>
        <w:tc>
          <w:tcPr>
            <w:tcW w:w="2268" w:type="dxa"/>
            <w:vAlign w:val="center"/>
          </w:tcPr>
          <w:p>
            <w:pPr>
              <w:pStyle w:val="20"/>
              <w:rPr>
                <w:sz w:val="22"/>
                <w:szCs w:val="22"/>
              </w:rPr>
            </w:pPr>
            <w:r>
              <w:rPr>
                <w:rFonts w:hint="eastAsia"/>
                <w:sz w:val="22"/>
                <w:szCs w:val="22"/>
              </w:rPr>
              <w:t>免费质保期</w:t>
            </w:r>
          </w:p>
        </w:tc>
        <w:tc>
          <w:tcPr>
            <w:tcW w:w="7123" w:type="dxa"/>
            <w:vAlign w:val="center"/>
          </w:tcPr>
          <w:p>
            <w:pPr>
              <w:pStyle w:val="20"/>
              <w:rPr>
                <w:sz w:val="22"/>
                <w:szCs w:val="22"/>
              </w:rPr>
            </w:pPr>
            <w:r>
              <w:rPr>
                <w:rFonts w:hint="eastAsia"/>
                <w:sz w:val="22"/>
                <w:szCs w:val="22"/>
              </w:rPr>
              <w:t>验收合格之日起3年，货物需求表中有特殊要求的以货物需求表为准</w:t>
            </w:r>
          </w:p>
        </w:tc>
      </w:tr>
    </w:tbl>
    <w:p>
      <w:pPr>
        <w:spacing w:line="360" w:lineRule="auto"/>
        <w:ind w:firstLine="241" w:firstLineChars="100"/>
        <w:jc w:val="left"/>
        <w:rPr>
          <w:rFonts w:ascii="宋体" w:hAnsi="宋体" w:eastAsia="宋体" w:cs="Times New Roman"/>
          <w:b/>
          <w:sz w:val="24"/>
        </w:rPr>
      </w:pPr>
      <w:r>
        <w:rPr>
          <w:rFonts w:hint="eastAsia" w:ascii="宋体" w:hAnsi="宋体" w:eastAsia="宋体" w:cs="Times New Roman"/>
          <w:b/>
          <w:sz w:val="24"/>
        </w:rPr>
        <w:t>2、货物需求</w:t>
      </w:r>
    </w:p>
    <w:tbl>
      <w:tblPr>
        <w:tblStyle w:val="12"/>
        <w:tblW w:w="104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6612"/>
        <w:gridCol w:w="709"/>
        <w:gridCol w:w="7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spacing w:line="360" w:lineRule="auto"/>
              <w:jc w:val="center"/>
              <w:rPr>
                <w:rFonts w:asciiTheme="minorEastAsia" w:hAnsiTheme="minorEastAsia"/>
                <w:b/>
                <w:sz w:val="22"/>
                <w:szCs w:val="22"/>
              </w:rPr>
            </w:pPr>
            <w:r>
              <w:rPr>
                <w:rFonts w:hint="eastAsia" w:cs="Arial" w:asciiTheme="minorEastAsia" w:hAnsiTheme="minorEastAsia"/>
                <w:b/>
                <w:sz w:val="22"/>
                <w:szCs w:val="22"/>
              </w:rPr>
              <w:t>序号</w:t>
            </w:r>
          </w:p>
        </w:tc>
        <w:tc>
          <w:tcPr>
            <w:tcW w:w="1701" w:type="dxa"/>
            <w:vAlign w:val="center"/>
          </w:tcPr>
          <w:p>
            <w:pPr>
              <w:spacing w:line="360" w:lineRule="auto"/>
              <w:jc w:val="center"/>
              <w:rPr>
                <w:rFonts w:cs="Arial" w:asciiTheme="minorEastAsia" w:hAnsiTheme="minorEastAsia"/>
                <w:b/>
                <w:sz w:val="22"/>
                <w:szCs w:val="22"/>
              </w:rPr>
            </w:pPr>
            <w:r>
              <w:rPr>
                <w:rFonts w:hint="eastAsia" w:cs="Arial" w:asciiTheme="minorEastAsia" w:hAnsiTheme="minorEastAsia"/>
                <w:b/>
                <w:sz w:val="22"/>
                <w:szCs w:val="22"/>
              </w:rPr>
              <w:t>货物名称</w:t>
            </w:r>
          </w:p>
        </w:tc>
        <w:tc>
          <w:tcPr>
            <w:tcW w:w="6612" w:type="dxa"/>
            <w:vAlign w:val="center"/>
          </w:tcPr>
          <w:p>
            <w:pPr>
              <w:spacing w:line="360" w:lineRule="auto"/>
              <w:ind w:firstLine="221" w:firstLineChars="100"/>
              <w:jc w:val="center"/>
              <w:rPr>
                <w:rFonts w:cs="Arial" w:asciiTheme="minorEastAsia" w:hAnsiTheme="minorEastAsia"/>
                <w:b/>
                <w:sz w:val="22"/>
                <w:szCs w:val="22"/>
              </w:rPr>
            </w:pPr>
            <w:r>
              <w:rPr>
                <w:rFonts w:hint="eastAsia" w:cs="Arial" w:asciiTheme="minorEastAsia" w:hAnsiTheme="minorEastAsia"/>
                <w:b/>
                <w:sz w:val="22"/>
                <w:szCs w:val="22"/>
              </w:rPr>
              <w:t>技术参数</w:t>
            </w:r>
          </w:p>
        </w:tc>
        <w:tc>
          <w:tcPr>
            <w:tcW w:w="709" w:type="dxa"/>
            <w:vAlign w:val="center"/>
          </w:tcPr>
          <w:p>
            <w:pPr>
              <w:spacing w:line="360" w:lineRule="auto"/>
              <w:jc w:val="center"/>
              <w:rPr>
                <w:rFonts w:cs="Times New Roman" w:asciiTheme="minorEastAsia" w:hAnsiTheme="minorEastAsia"/>
                <w:b/>
                <w:sz w:val="22"/>
                <w:szCs w:val="22"/>
              </w:rPr>
            </w:pPr>
            <w:r>
              <w:rPr>
                <w:rFonts w:hint="eastAsia" w:cs="Arial" w:asciiTheme="minorEastAsia" w:hAnsiTheme="minorEastAsia"/>
                <w:b/>
                <w:sz w:val="22"/>
                <w:szCs w:val="22"/>
              </w:rPr>
              <w:t>数量</w:t>
            </w:r>
          </w:p>
        </w:tc>
        <w:tc>
          <w:tcPr>
            <w:tcW w:w="744" w:type="dxa"/>
            <w:vAlign w:val="center"/>
          </w:tcPr>
          <w:p>
            <w:pPr>
              <w:spacing w:line="360" w:lineRule="auto"/>
              <w:jc w:val="center"/>
              <w:rPr>
                <w:rFonts w:cs="Arial" w:asciiTheme="minorEastAsia" w:hAnsiTheme="minorEastAsia"/>
                <w:b/>
                <w:sz w:val="22"/>
                <w:szCs w:val="22"/>
              </w:rPr>
            </w:pPr>
            <w:r>
              <w:rPr>
                <w:rFonts w:hint="eastAsia" w:cs="Arial" w:asciiTheme="minorEastAsia" w:hAnsiTheme="minorEastAsia"/>
                <w:b/>
                <w:sz w:val="22"/>
                <w:szCs w:val="22"/>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10"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1</w:t>
            </w:r>
          </w:p>
        </w:tc>
        <w:tc>
          <w:tcPr>
            <w:tcW w:w="1701" w:type="dxa"/>
            <w:vAlign w:val="center"/>
          </w:tcPr>
          <w:p>
            <w:pPr>
              <w:widowControl/>
              <w:jc w:val="center"/>
              <w:rPr>
                <w:rFonts w:cs="宋体" w:asciiTheme="minorEastAsia" w:hAnsiTheme="minorEastAsia"/>
                <w:color w:val="000000"/>
                <w:kern w:val="0"/>
                <w:sz w:val="22"/>
                <w:szCs w:val="22"/>
              </w:rPr>
            </w:pPr>
            <w:r>
              <w:rPr>
                <w:rFonts w:hint="eastAsia" w:asciiTheme="minorEastAsia" w:hAnsiTheme="minorEastAsia"/>
                <w:color w:val="000000"/>
                <w:sz w:val="22"/>
                <w:szCs w:val="22"/>
              </w:rPr>
              <w:t>网络交换机</w:t>
            </w:r>
          </w:p>
        </w:tc>
        <w:tc>
          <w:tcPr>
            <w:tcW w:w="6612" w:type="dxa"/>
            <w:vAlign w:val="center"/>
          </w:tcPr>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1、支持固化千兆电口≥24个，固化千兆光口≥4个；</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2、交换容量≥336Gbps，包转发率≥42Mpps，交换缓存≥4Mbit；</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3、支持MAC地址容量≥8K；支持ACL条目≥1200；</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4、★支持VLAN划分，支持生成树STP/RSTP、链路聚合、端口镜像，支持DHCP Snooping，提供官网链接及官网截图证明；</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 xml:space="preserve">5、支持高效节能以太网（EEE），支持防雷等级≥6KV， 工作温度最高≥50℃；  </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 xml:space="preserve">6、★为了可以对交换机进行统一的可视化集中管理，所投设备同时支持WEB、管理平台及APP管理，提供官网链接及官网截图证明； </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7、设备在100米传输距离能正常工作，传输无丢包，突发长度的突发间隔等于最小帧间隔，无丢包；</w:t>
            </w:r>
          </w:p>
          <w:p>
            <w:pPr>
              <w:adjustRightInd w:val="0"/>
              <w:snapToGrid w:val="0"/>
              <w:spacing w:line="360" w:lineRule="auto"/>
              <w:ind w:right="-11"/>
              <w:jc w:val="left"/>
              <w:rPr>
                <w:rFonts w:cs="宋体" w:asciiTheme="minorEastAsia" w:hAnsiTheme="minorEastAsia"/>
                <w:sz w:val="22"/>
                <w:szCs w:val="22"/>
              </w:rPr>
            </w:pPr>
            <w:r>
              <w:rPr>
                <w:rFonts w:hint="eastAsia" w:asciiTheme="minorEastAsia" w:hAnsiTheme="minorEastAsia"/>
                <w:sz w:val="22"/>
                <w:szCs w:val="22"/>
              </w:rPr>
              <w:t>8、★交换机可以通过同一品牌的网管平台及手机APP实现CPU，内存利用率的查看，以及交换机VLAN划分等功能，实配管理平台，提供管理平台软件产品登记测试报告扫描件或复印件；</w:t>
            </w:r>
          </w:p>
        </w:tc>
        <w:tc>
          <w:tcPr>
            <w:tcW w:w="709" w:type="dxa"/>
            <w:vAlign w:val="center"/>
          </w:tcPr>
          <w:p>
            <w:pPr>
              <w:widowControl/>
              <w:jc w:val="center"/>
              <w:rPr>
                <w:rFonts w:cs="宋体" w:asciiTheme="minorEastAsia" w:hAnsiTheme="minorEastAsia"/>
                <w:color w:val="000000"/>
                <w:kern w:val="0"/>
                <w:sz w:val="22"/>
                <w:szCs w:val="22"/>
              </w:rPr>
            </w:pPr>
            <w:r>
              <w:rPr>
                <w:rFonts w:hint="eastAsia" w:asciiTheme="minorEastAsia" w:hAnsiTheme="minorEastAsia"/>
                <w:color w:val="000000"/>
                <w:sz w:val="22"/>
                <w:szCs w:val="22"/>
              </w:rPr>
              <w:t>1</w:t>
            </w:r>
          </w:p>
        </w:tc>
        <w:tc>
          <w:tcPr>
            <w:tcW w:w="744"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2</w:t>
            </w:r>
          </w:p>
        </w:tc>
        <w:tc>
          <w:tcPr>
            <w:tcW w:w="1701"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多媒体智慧黑板</w:t>
            </w:r>
          </w:p>
        </w:tc>
        <w:tc>
          <w:tcPr>
            <w:tcW w:w="6612" w:type="dxa"/>
            <w:vAlign w:val="center"/>
          </w:tcPr>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一、整体设计要求如下：</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1、整机采用全金属外壳，三拼接平面一体化设计，屏幕边缘采用圆角包边防护，整机背板采用金属材质。</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2、整机屏幕采用86英寸超高清LED液晶显示屏，显示比例16:9，分辨率3840×2160。</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3、侧置输入接口具备2路HDMI、1路RS232、1路USB接口；侧置输出接口具备1路音频输出、1路触控USB输出；前置输入接口具备3路USB接口（包含1路Type-C、2路USB）。</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4、嵌入式系统版本不低于Android 13，内存≥2GB，存储空间≥8GB；钢化玻璃表面硬度≥9H。</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5、采用电容触控方式，支持Windows系统中进行40点或以上触控，支持Android系统中进行40点或以上触控。</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6、★整机内置2.2声道扬声器，位于设备上边框，顶置朝前发声，前朝向10W高音扬声器2个，上朝向20W中低音扬声器2个，额定总功率60W。</w:t>
            </w:r>
            <w:r>
              <w:rPr>
                <w:rFonts w:hint="eastAsia" w:asciiTheme="minorEastAsia" w:hAnsiTheme="minorEastAsia"/>
                <w:b/>
                <w:sz w:val="22"/>
                <w:szCs w:val="22"/>
              </w:rPr>
              <w:t>（提供第三方有权机构出具的CMA和CNAS的检测报告复印件）</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7、整机内置非独立外扩展的8阵列麦克风，拾音角度≥180°，可用于对教室环境音频进行采集，拾音距离≥12m。</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8、★整机支持上边框内置非独立摄像头模组，同时输出至少 3 路视频流，同时支持课堂远程巡课、课堂教学数据采集、本地画面预览（拍照或视频录制）。</w:t>
            </w:r>
            <w:r>
              <w:rPr>
                <w:rFonts w:hint="eastAsia" w:asciiTheme="minorEastAsia" w:hAnsiTheme="minorEastAsia"/>
                <w:b/>
                <w:sz w:val="22"/>
                <w:szCs w:val="22"/>
              </w:rPr>
              <w:t>（提供第三方有权机构出具的CMA和CNAS的检测报告复印件）</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9、整机具备至少6个前置按键，可实现开关机、调出中控菜单、音量+/-、护眼、录屏操作。</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10、整机支持5个自定义前置按键，“设置”、“音量-”，“音量+”，“录屏”，“护眼”按键，可通过自定义设置实现前置面板功能按键一键启用任一全局小工具（批注、截屏、计时、降半屏、放大镜、倒数日、日历）、快捷开关（节能模式、纸质护眼模式、经典护眼模式、自动亮度模式）、课堂智能反馈。</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11、整机全通道支持纸质护眼模式，可实现画面纹理的实时调整；支持纸质纹理：牛皮纸、素描纸、宣纸、水彩纸、水纹纸；支持透明度调节；支持色温调节。</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11、整机上边框内置非独立式摄像头，采用一体化集成设计，摄像头数量≥4个，并且像素值均大于800 万；</w:t>
            </w:r>
            <w:r>
              <w:rPr>
                <w:rFonts w:asciiTheme="minorEastAsia" w:hAnsiTheme="minorEastAsia"/>
                <w:sz w:val="22"/>
                <w:szCs w:val="22"/>
              </w:rPr>
              <w:t xml:space="preserve"> </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12、整机系统支持手势上滑调出人工智能画质调节模式（AI-PQ），在安卓通道下可根据屏幕内容自动调节画质参数，当屏幕出现人物、建筑、夜景等元素时，自动调整对比度、饱和度、锐利度、色调色相值、高光/阴影。</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13、★为了保障师生用眼健康问题，智慧黑板需通过由中国标准化研究院制定的视觉舒适度（VICO）评价体系测试，并达到视觉舒适度A+级或以上标准。</w:t>
            </w:r>
            <w:r>
              <w:rPr>
                <w:rFonts w:hint="eastAsia" w:asciiTheme="minorEastAsia" w:hAnsiTheme="minorEastAsia"/>
                <w:b/>
                <w:sz w:val="22"/>
                <w:szCs w:val="22"/>
              </w:rPr>
              <w:t>（提供中国标准化研究院或其他国家级社会公益类标准化科研机构出具的检测结果复印件）</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14、整机内置非独立外扩展的8阵列麦克风，拾音角度≥180°，可用于对教室环境音频进行采集，拾音距离≥12m。</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15、★整机支持提笔书写，在Windows系统下可实现无需点击任意功能入口，当检测到红外笔笔尖接触屏幕时，自动进入书写模式。</w:t>
            </w:r>
            <w:r>
              <w:rPr>
                <w:rFonts w:hint="eastAsia" w:asciiTheme="minorEastAsia" w:hAnsiTheme="minorEastAsia"/>
                <w:b/>
                <w:sz w:val="22"/>
                <w:szCs w:val="22"/>
              </w:rPr>
              <w:t>（提供第三方有权机构出具的CMA和CNAS的检测报告复印件）</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二、整机系统要求如下：</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1、整机内置专业硬件自检维护工具（非第三方工具），支持对整机内部的板卡及部件模块进行故障检测、系统还原功能。</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2、外接电脑设备连接整机且触摸信号连通时，外接电脑设备可直接读取整机前置USB接口的移动存储设备数据，连接整机前置USB接口的翻页笔和无线键鼠外接设备可直接使用于外接电脑。</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3、★整机设备自带地震预警软件。支持在地震预警页面中获取位置，可以手动进行位置校准。支持在地震预警页面中选择提醒阈值。支持在地震预警界面中开启和关闭地震预警服务。</w:t>
            </w:r>
            <w:r>
              <w:rPr>
                <w:rFonts w:hint="eastAsia" w:asciiTheme="minorEastAsia" w:hAnsiTheme="minorEastAsia"/>
                <w:b/>
                <w:sz w:val="22"/>
                <w:szCs w:val="22"/>
              </w:rPr>
              <w:t>（提供第三方有权机构出具的CMA和CNAS的检测报告复印件）</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4、整机设备教学桌面支持 U 盘、移动硬盘外接存储设备直接在桌面显示，无需打开文件浏览器即可查看文件列表，并且支持文件打开。支持查看全部文件列表以及按照文档、图片、音视频分类方式查看文件列表。</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5、整机设备可将应用编辑到教学桌面首页，编辑方式支持从教学桌面首页进入编辑，支持在全部应用列表中进入编辑 2 种方式。教学桌面首页应用支持无需进入应用编辑页面，在首页指定应用上长按进行移除。</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6、整机设备开机启动后，自动进入教学桌面，支持账号登录、退出，自动获取个人云端教学课件列表，并可进入全部课件列表。</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7、整机内置触摸中控菜单，可查看当前正在运行的应用，支持应用切换，在全屏应用下无需退出全屏应用即可进行切换；支持应用关闭，以及关闭所有应用。</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8、★整机Windows通道支持文件传输应用，支持通过扫码、wifi直联、超声三种方式与手机进行握手连接，实现文件传输功能。</w:t>
            </w:r>
            <w:r>
              <w:rPr>
                <w:rFonts w:hint="eastAsia" w:asciiTheme="minorEastAsia" w:hAnsiTheme="minorEastAsia"/>
                <w:b/>
                <w:sz w:val="22"/>
                <w:szCs w:val="22"/>
              </w:rPr>
              <w:t>（提供第三方有权机构出具的CMA和CNAS的检测报告复印件）</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三、智慧课堂互动软件要求如下：</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1、在公网环境下，无需借助任何外接设备，通过软件端即可实现手机/平板等学生学习终端与教师端授课工具进行连接，实现线上/线下/混合互动教学。</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2、支持课堂快速开启直播，无需切换其他设备及操作界面，老师利用教学软件一键开启直播，声音、影像实时同步；学生可通过网页端或者移动端APP实时加入课堂，课后支持学生在课堂报告查看直播回放，可复制链接或点击直接播放回看。</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3、★支持教师下载教室空间的文档格式的资料给全员和小组端，支持的文件包含但不局限于以下格式：音视频格式，文档格式，图片格式。</w:t>
            </w:r>
            <w:r>
              <w:rPr>
                <w:rFonts w:hint="eastAsia" w:asciiTheme="minorEastAsia" w:hAnsiTheme="minorEastAsia"/>
                <w:b/>
                <w:sz w:val="22"/>
                <w:szCs w:val="22"/>
              </w:rPr>
              <w:t>（提供第三方有权机构出具的CMA和CNAS的检测报告复印件）</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4、支持学校精品课程资源库创建及精品资源课程内容展示，便于学校优质教学资源沉淀与积累。</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5、当老师在全屏播放课件时，学生端也会同步进行课件播放，如：老师进行PPT翻页操作时，学生端会同步翻页，保证课堂中老师讲课进度同步展示。</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四、电脑模块要求如下：</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1、搭载Intel 酷睿系列 i5以上CPU，内存8GB DDR4以上，硬盘256GB固态硬盘以上。和整机的连接采用万兆级接口，传输速率≥10Gbps。</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2、采用按压式卡扣，无需工具就可快速拆卸电脑模块。具有标准PC防盗锁孔。</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3、具有独立非外扩展的视频输出接口：≥1路HDMI 。具有独立非外扩展的电脑USB接口：≥3路USB。</w:t>
            </w:r>
          </w:p>
        </w:tc>
        <w:tc>
          <w:tcPr>
            <w:tcW w:w="709"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3</w:t>
            </w:r>
          </w:p>
        </w:tc>
        <w:tc>
          <w:tcPr>
            <w:tcW w:w="744"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3</w:t>
            </w:r>
          </w:p>
        </w:tc>
        <w:tc>
          <w:tcPr>
            <w:tcW w:w="1701"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智慧讲桌</w:t>
            </w:r>
          </w:p>
        </w:tc>
        <w:tc>
          <w:tcPr>
            <w:tcW w:w="6612" w:type="dxa"/>
            <w:vAlign w:val="center"/>
          </w:tcPr>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1.智能讲台结构：木结构部分均采用E0级木质板材结构，甲醛释放量≤0.05mg/m³，桌面防静电。</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2.智能讲台尺寸及外观：（长×宽×高）≥ 1100mm× 550mm× 900mm，讲台三面环抱式设计，根据人体力学设计，讲台桌面高度合适老师放置教学用品，讲台产品外观桌面平整，悬浮式设计，边缘光滑，无棱角处理，保护师生安全。</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3.智能讲台包含至少21.5英寸电容触摸屏幕，支持10点同时触摸。</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4.智能讲台屏幕采用防眩光全钢化防爆玻璃面板，厚度≥3mm。</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5.智能讲台支持通过触控屏幕对一体机的画面进行控制，同时支持同步显示一体机画面，老师讲课无需转身背对学生，提高授课效率。</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6.★智能讲台具备独立的快捷按键，用户可通过快捷按键对一体机进行进行一键熄屏、音量加控制、音量减控制。智能讲台至少具备1个可自定义功能按键，可通过软件设置选择按键功能，包括一键启动白板、一键启动视频展台，一键关闭当前应用程序选项功能。（</w:t>
            </w:r>
            <w:r>
              <w:rPr>
                <w:rFonts w:hint="eastAsia" w:asciiTheme="minorEastAsia" w:hAnsiTheme="minorEastAsia"/>
                <w:b/>
                <w:sz w:val="22"/>
                <w:szCs w:val="22"/>
              </w:rPr>
              <w:t>提供第三方国家级检测机构出具的CMA和CNAS的检测报告复印件）</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7.智能讲台支持对自身智能讲台触控屏幕的一键息屏、一键开/关机的快捷控制。</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8.★为保证产品的兼容性及售后的稳定性，智能讲台需与交互智能平板为同一品牌厂家。</w:t>
            </w:r>
            <w:r>
              <w:rPr>
                <w:rFonts w:hint="eastAsia" w:asciiTheme="minorEastAsia" w:hAnsiTheme="minorEastAsia"/>
                <w:b/>
                <w:sz w:val="22"/>
                <w:szCs w:val="22"/>
              </w:rPr>
              <w:t>（提供第三方国家级检测机构出具的CMA和CNAS的检测报告复印件）</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9.智能讲台设置至少四个USB充电口，对接入设备进行充电，方便学校对教学用品的管理及维护。</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10.智能讲台支持蓝牙BLE功能，可以无线控制支持蓝牙功能的一体机产品开机，减少额外连线或二次装修部署。</w:t>
            </w:r>
          </w:p>
        </w:tc>
        <w:tc>
          <w:tcPr>
            <w:tcW w:w="709"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3</w:t>
            </w:r>
          </w:p>
        </w:tc>
        <w:tc>
          <w:tcPr>
            <w:tcW w:w="744"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4</w:t>
            </w:r>
          </w:p>
        </w:tc>
        <w:tc>
          <w:tcPr>
            <w:tcW w:w="1701"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音箱</w:t>
            </w:r>
          </w:p>
        </w:tc>
        <w:tc>
          <w:tcPr>
            <w:tcW w:w="6612" w:type="dxa"/>
            <w:vAlign w:val="center"/>
          </w:tcPr>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音箱部分：</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1.采用功放与有源音箱一体化设计，内置麦克风无线接收模块，帮助教师实现多媒体扩音以及本地扩声功能。</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2.输出额定功率≥ 2x15W。</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3.音箱灵敏度≥85dB，1W/1M。</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4.信噪比≥80dB@额定功率、A计权。</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5.全频喇叭单元尺寸≥5英寸。</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6.THD+N≤1%。</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7.声频响110Hz-16kHz。</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8.距离音箱10米处声压级≥75dB。</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9.具备≥1路电源开关、1路LINE IN、1路USB 接口。USB接口可外接U盘设备对音箱固件进行升级。</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10.支持无线麦克风扩音接收，采用Wi-Fi射频2.4GHz与 5GHz双频段传输，有效避免环境中运营商U段（700MHz）的信号干扰。（提供国家认可的权威第三方检测机构所出具的检测报告复印件）</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11.采用红外对码方式，避免连接到其他教室音箱。可快速完成与教学扩声麦克风对码，无需繁琐操作。</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12.配置独立音频数字信号处理芯片，支持啸叫抑制功能。</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13.支持蓝牙无线接收，可分享移动设备上的音频。支持密码模式，防止学生连接。</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14.★支持安卓手机通过蓝牙无线连接音箱，实现控制有源音箱的音量、设置蓝牙名称、设置蓝牙密码等功能，方便教师对音箱的管控。（</w:t>
            </w:r>
            <w:r>
              <w:rPr>
                <w:rFonts w:hint="eastAsia" w:asciiTheme="minorEastAsia" w:hAnsiTheme="minorEastAsia"/>
                <w:b/>
                <w:sz w:val="22"/>
                <w:szCs w:val="22"/>
              </w:rPr>
              <w:t>提供国家认可的权威第三方检测机构所出具的检测报告复印件）</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无线麦克风部分：</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1.无线麦克风集音频发射处理器、天线、电池、拾音麦克风于一体，配合一体化有源音箱，无需任何外接辅助设备即可实现本地扩声功能。</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2.采样率≥48KHz，16bit；扩音增益≥15dB；声频响100Hz-16kHz，底噪≤100uVrms，声信噪比≥60dB；配合一体化有源音箱，扩音延时≤35ms.</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3.★用Wi-Fi射频频段传输，有效避免环境中运营商U段（700MHz）信号干扰。</w:t>
            </w:r>
            <w:r>
              <w:rPr>
                <w:rFonts w:hint="eastAsia" w:asciiTheme="minorEastAsia" w:hAnsiTheme="minorEastAsia"/>
                <w:b/>
                <w:sz w:val="22"/>
                <w:szCs w:val="22"/>
              </w:rPr>
              <w:t>（提供具有CNAS认证资质的第三方检测认证机构出具的权威检测报告复印件）</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4.支持2.4GHz与5G双频段工作，信道数量≥26个。</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5.电续航时间≥5小时，满电状态可满足一天内7节课（45分钟/一节课）的高频授课，充电10分钟满足一节课（45分钟/一节课）授课时间。</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6.★采用红外对码方式连接，避免连接到其他教室音箱。可在5S内快速完成与教学扩声音箱对码，无需繁琐操作。</w:t>
            </w:r>
            <w:r>
              <w:rPr>
                <w:rFonts w:hint="eastAsia" w:asciiTheme="minorEastAsia" w:hAnsiTheme="minorEastAsia"/>
                <w:b/>
                <w:sz w:val="22"/>
                <w:szCs w:val="22"/>
              </w:rPr>
              <w:t>（提供具有CNAS认证资质的第三方检测认证机构出具的权威检测报告复印件）</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7.支持两个无线麦克风同时配对一个一体化有源音箱使用，实现两个麦克风混音输出进行扩音。</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8.具备Type-c外置麦克风接口，与充电接口复用。可搭配Type-C接口的麦克风进行使用，比如头戴式、挂耳式的外置麦克风。</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9.空旷无干扰的环境，无线传输有效距离≥15 米。</w:t>
            </w:r>
          </w:p>
        </w:tc>
        <w:tc>
          <w:tcPr>
            <w:tcW w:w="709"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2</w:t>
            </w:r>
          </w:p>
        </w:tc>
        <w:tc>
          <w:tcPr>
            <w:tcW w:w="744"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5</w:t>
            </w:r>
          </w:p>
        </w:tc>
        <w:tc>
          <w:tcPr>
            <w:tcW w:w="1701"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音频主机</w:t>
            </w:r>
          </w:p>
        </w:tc>
        <w:tc>
          <w:tcPr>
            <w:tcW w:w="6612" w:type="dxa"/>
            <w:vAlign w:val="center"/>
          </w:tcPr>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据权限大小对系统进行广播．向系统添加或删除节目。</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IP网络广播可以实现双向对讲、广播监听、任意点播、实时采集、终端选配、一键对讲、节目定时播放、领导网上讲话、网上电台转播、音频自动触发终端设备、消防报警广播。</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1.支持1路短路触发开机接口，用于定时驱动开机运行。</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2.支持6×USB接口、2×PS/2接口、 6×串口接口、2×千兆网口、1×VGA口、1×CVI口，4个声卡、6*PCI 槽扩展。带音量调节旋钮 ，自带CD光驱。内置扬声器</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3.机架式机箱，工业级主板 。</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4.屏幕 ：≥15＂高亮度LED液晶屏（配四线电容触摸屏）可选配电容屏</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5.配置不低于4G内存、1TG 硬盘。（可根据客户要求增加内存和固态）</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 xml:space="preserve">6.搭配Microsoft Windows Server 2012服务器系统操作平台 。（可根据客户要求定制） </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支持系统：</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Microsoft Windows Server 2008企业版、x64企业版、标准版、x64标准版、Windows 7、Windows 10、或Server等数据中心版、x64数据中心版、2012服务器系统;</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Windows Small Business Server 2008;Red Hat Linux;SUSE Linux 安全认证加电口令，特权存取口令</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系统参数：</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屏幕 ：15＂高亮度LCD液晶屏（配四线电阻触摸屏）</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分辨率：1024x768，无DVD光驱</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 xml:space="preserve">主板：工业主板 </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CPU：Intel J1900 4核</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显卡：板载</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内存：4G</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硬盘：1TG</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 xml:space="preserve">电源：350ATX </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 xml:space="preserve">扩展：5*PCI 槽扩展 </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串口：1*COM口</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USB:前置2个，后置4个</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整机功耗: 60～80W</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接口：3*音频口,1*网口，1*键盘口，1*鼠标口，1*VGA口</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备注：标配方案不可以加声卡，高配最多可加5个声卡</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外观尺寸：19＂7U  482.6x310.3x295mm（宽x高x深）</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安装方式：支持机架安装，桌面放置</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面板：8mm高级拉丝硬质阳极氧化铝合金面板</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箱体结构：耐指纹喷涂电解锌钢板</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键盘/鼠标：机箱底部抽拉式键盘和触摸板鼠标</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整机颜色：银、黑两色可选</w:t>
            </w:r>
          </w:p>
        </w:tc>
        <w:tc>
          <w:tcPr>
            <w:tcW w:w="709"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1</w:t>
            </w:r>
          </w:p>
        </w:tc>
        <w:tc>
          <w:tcPr>
            <w:tcW w:w="744"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6</w:t>
            </w:r>
          </w:p>
        </w:tc>
        <w:tc>
          <w:tcPr>
            <w:tcW w:w="1701"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网络化室内音箱</w:t>
            </w:r>
          </w:p>
        </w:tc>
        <w:tc>
          <w:tcPr>
            <w:tcW w:w="6612" w:type="dxa"/>
            <w:vAlign w:val="center"/>
          </w:tcPr>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功能特点:</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采用嵌入式技术和音频处理技术设计；内置嵌入式网络语音解码模块，完成网络音频流的同步接收和解码；采用高速工业级芯片，启动时间达到毫秒级；提高设备使用稳定性；</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内置嵌入式网络语音解码模块、双通道输出功放，设备运行稳定性高；</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具有独立地址，可以单独接收服务器的个性化定时播放节目。</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带有路本地线路输入，路本地话筒输入：可将外接音频（卡座、笔记本、话筒等）送入网络音箱本地线路、话筒接口实现本地多媒体扩音。</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带电源指示灯、数据运行灯指示，工作状态一目了然。</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网络主音箱带辅助音频输出接口、可以挂接一只副箱。</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高品质的数字音频传输，无噪音，音质达到级（音频文件位速为自适应）；</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高级工程塑料外壳材质，做工精致，抗摔防震。</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具备智能电源管理功能，设备采用内置判断功放的运行状态，在无工作状态时功放自动进入休眠状态，待机功率≤0.2W,当有播放任务时，功放自动启动。</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带有远程音量调节功能，终端在自动启动和播放任务的时候，自动将音量调节到系统设定的默认状态。音量自动调节默认值分别可制定为背景音乐音量、紧急广播啬量和消防广播音量等。</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设备具备全数字高音、低音和主音量调节，调节更加清晰、灵活准确。</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音箱具有软件远程设置高低音功能，可以根据歌曲内容对高低音要求不同自行设置。</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通过网络任意接收来自服务器的广播节目，包括话筒寻呼、消防警报自动强插、电话寻呼等。</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一线多用：充分利用现有网络资源，避免重复架设线路，兼容网络协议，可挂接在以太网络到达的任何地方，真正实现广播、计算机、监控网络等的多网合一，支持跨网关、跨路由、互联网传输。通过网络联机设定地址及网络配置等。</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具有远程升级功能，产品程序更新无须现场升级，通过网络远程即可更新、方便快捷。</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设备参数</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网络接口：RJ45、10M/100M</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网络协议：TCP/IP、UDP、ICMP、IGMP(组播)</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音频格式：MP3/MP2</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支持码流：32K-320K</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频带宽度：20Hz-20KHz</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灵敏度：94dB</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信噪比：线路：≥90dB；话筒：≥88 dB</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额定功率：10W*2，最大功率20W</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扬声器阻抗：5"8Ω，2.5"8Ω，</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待机功率：0.2W</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供电：AC 220V±10%，50-60Hz</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安装方式：壁挂式、桌面式</w:t>
            </w:r>
          </w:p>
        </w:tc>
        <w:tc>
          <w:tcPr>
            <w:tcW w:w="709"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20</w:t>
            </w:r>
          </w:p>
        </w:tc>
        <w:tc>
          <w:tcPr>
            <w:tcW w:w="744"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7</w:t>
            </w:r>
          </w:p>
        </w:tc>
        <w:tc>
          <w:tcPr>
            <w:tcW w:w="1701"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文件柜</w:t>
            </w:r>
          </w:p>
        </w:tc>
        <w:tc>
          <w:tcPr>
            <w:tcW w:w="6612" w:type="dxa"/>
            <w:vAlign w:val="center"/>
          </w:tcPr>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1、规格尺寸：900×420×1800mm；</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2、冷轧钢板:主体采用冷轧钢板。经激光下料，数控冲床冲压，数控折弯一体成型，整体90%气保焊焊接，保证结构强度，避免碰焊表面留下疤痕，影响整体美度；</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3、工艺:经除油，除锈，磷化等十一道隧道式表面前处理，能确保各种环境下长时间表面不脱落，不生锈情况发生。外处理采用热固性环氧树脂粉末或同等级别的粉末，环保无污染；</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4、锁具:可换芯锁，钥匙丢失可实现不破坏柜体轻松实现换锁；</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5、配件:优质五金拉手、铰链采用自制插销式铰链与门板焊接成一体，具有牢固性好，安装方便等特点。</w:t>
            </w:r>
          </w:p>
        </w:tc>
        <w:tc>
          <w:tcPr>
            <w:tcW w:w="709"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1</w:t>
            </w:r>
          </w:p>
        </w:tc>
        <w:tc>
          <w:tcPr>
            <w:tcW w:w="744"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8</w:t>
            </w:r>
          </w:p>
        </w:tc>
        <w:tc>
          <w:tcPr>
            <w:tcW w:w="1701"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职业心理书籍</w:t>
            </w:r>
          </w:p>
        </w:tc>
        <w:tc>
          <w:tcPr>
            <w:tcW w:w="6612" w:type="dxa"/>
            <w:vAlign w:val="center"/>
          </w:tcPr>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职业</w:t>
            </w:r>
            <w:r>
              <w:rPr>
                <w:rFonts w:hint="eastAsia" w:asciiTheme="minorEastAsia" w:hAnsiTheme="minorEastAsia"/>
                <w:sz w:val="22"/>
                <w:szCs w:val="22"/>
                <w:lang w:eastAsia="zh-CN"/>
              </w:rPr>
              <w:t>心理</w:t>
            </w:r>
            <w:r>
              <w:rPr>
                <w:rFonts w:hint="eastAsia" w:asciiTheme="minorEastAsia" w:hAnsiTheme="minorEastAsia"/>
                <w:sz w:val="22"/>
                <w:szCs w:val="22"/>
              </w:rPr>
              <w:t>书籍</w:t>
            </w:r>
          </w:p>
        </w:tc>
        <w:tc>
          <w:tcPr>
            <w:tcW w:w="709"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100</w:t>
            </w:r>
          </w:p>
        </w:tc>
        <w:tc>
          <w:tcPr>
            <w:tcW w:w="744"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0" w:type="dxa"/>
            <w:vAlign w:val="center"/>
          </w:tcPr>
          <w:p>
            <w:pPr>
              <w:adjustRightInd w:val="0"/>
              <w:snapToGrid w:val="0"/>
              <w:spacing w:line="360" w:lineRule="auto"/>
              <w:ind w:right="-11"/>
              <w:jc w:val="center"/>
              <w:rPr>
                <w:rFonts w:asciiTheme="minorEastAsia" w:hAnsiTheme="minorEastAsia"/>
                <w:sz w:val="22"/>
                <w:szCs w:val="22"/>
              </w:rPr>
            </w:pPr>
            <w:r>
              <w:rPr>
                <w:rFonts w:asciiTheme="minorEastAsia" w:hAnsiTheme="minorEastAsia"/>
                <w:sz w:val="22"/>
                <w:szCs w:val="22"/>
              </w:rPr>
              <w:t>9</w:t>
            </w:r>
          </w:p>
        </w:tc>
        <w:tc>
          <w:tcPr>
            <w:tcW w:w="1701"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立式机柜</w:t>
            </w:r>
          </w:p>
        </w:tc>
        <w:tc>
          <w:tcPr>
            <w:tcW w:w="6612" w:type="dxa"/>
            <w:vAlign w:val="center"/>
          </w:tcPr>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1.符合ANSI/EIA RS-310-D、DIN41491,IEC297-2、DIN41491、PART7、GB/T3047.2-92标准。</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2.兼容19英寸国际标准、公制标准和ETSI标准。</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3.全包选用优质冷轧钢板制作，结构坚固，承载负荷大，完全能满足客户对此类机柜的需求。</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4.板材经过严格的脱脂、酸洗、防锈磷化、纯水清洗后，静电喷塑。</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5.良好的兼容性，良好的通风设计，配置有专业的散热系统和接地系统，安全可靠，能适应兼容更多的IT设备；同时安装了万向脚轮和支撑脚，移动方便，安置稳固，结构坚固。</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6.机柜并柜方便、快捷。</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7.配件齐全，质量可靠，上、下部走线孔配有分组盖板，前后门及侧门可容易拆装，方便工作。</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8.外观：封闭焊接式设计，外观新颖高雅，美观大方，尺寸精密，极富时代气息，正门采用网格式设计，既美观又利于机器散热，机柜主体颜色有灰和黑两种；</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9.结构：模块化设计，内置有层板，拼装简易，并提供了多台机柜连接一体化快捷解决方案，机柜侧面、后面均可开门，可全方位进入查看，预留有后上下线缆入口，方便线缆管理；</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10.材料：采用1.0mm厚高强度优质冷轧钢板及5mm厚高强度安全钢化防爆玻璃，可有效防震，更加安全可靠；</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11.散热：配备有专业的散热系统，内置有两台冷却风扇，可有效解决机柜内部散热，保护设备安全，使设备稳定在正常状态下工作；</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12.地线：内置有专业的接地系统，可有效保护设备安全；</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13.安装：挂装式安装，安装更加简单快捷；</w:t>
            </w:r>
          </w:p>
          <w:p>
            <w:pPr>
              <w:adjustRightInd w:val="0"/>
              <w:snapToGrid w:val="0"/>
              <w:spacing w:line="360" w:lineRule="auto"/>
              <w:ind w:right="-11"/>
              <w:jc w:val="left"/>
              <w:rPr>
                <w:rFonts w:asciiTheme="minorEastAsia" w:hAnsiTheme="minorEastAsia"/>
                <w:sz w:val="22"/>
                <w:szCs w:val="22"/>
              </w:rPr>
            </w:pPr>
            <w:r>
              <w:rPr>
                <w:rFonts w:hint="eastAsia" w:asciiTheme="minorEastAsia" w:hAnsiTheme="minorEastAsia"/>
                <w:sz w:val="22"/>
                <w:szCs w:val="22"/>
              </w:rPr>
              <w:t>14.尺寸（高× 宽×深mm）：1000×600×600</w:t>
            </w:r>
          </w:p>
        </w:tc>
        <w:tc>
          <w:tcPr>
            <w:tcW w:w="709" w:type="dxa"/>
            <w:vAlign w:val="center"/>
          </w:tcPr>
          <w:p>
            <w:pPr>
              <w:jc w:val="center"/>
              <w:rPr>
                <w:rFonts w:asciiTheme="minorEastAsia" w:hAnsiTheme="minorEastAsia"/>
                <w:color w:val="000000"/>
                <w:sz w:val="22"/>
                <w:szCs w:val="22"/>
              </w:rPr>
            </w:pPr>
            <w:r>
              <w:rPr>
                <w:rFonts w:hint="eastAsia" w:asciiTheme="minorEastAsia" w:hAnsiTheme="minorEastAsia"/>
                <w:color w:val="000000"/>
                <w:sz w:val="22"/>
                <w:szCs w:val="22"/>
              </w:rPr>
              <w:t>1</w:t>
            </w:r>
          </w:p>
        </w:tc>
        <w:tc>
          <w:tcPr>
            <w:tcW w:w="744" w:type="dxa"/>
            <w:vAlign w:val="center"/>
          </w:tcPr>
          <w:p>
            <w:pPr>
              <w:adjustRightInd w:val="0"/>
              <w:snapToGrid w:val="0"/>
              <w:spacing w:line="360" w:lineRule="auto"/>
              <w:ind w:right="-11"/>
              <w:jc w:val="center"/>
              <w:rPr>
                <w:rFonts w:asciiTheme="minorEastAsia" w:hAnsiTheme="minorEastAsia"/>
                <w:sz w:val="22"/>
                <w:szCs w:val="22"/>
              </w:rPr>
            </w:pPr>
            <w:r>
              <w:rPr>
                <w:rFonts w:hint="eastAsia" w:asciiTheme="minorEastAsia" w:hAnsiTheme="minorEastAsia"/>
                <w:sz w:val="22"/>
                <w:szCs w:val="22"/>
              </w:rPr>
              <w:t>个</w:t>
            </w:r>
          </w:p>
        </w:tc>
      </w:tr>
    </w:tbl>
    <w:p>
      <w:pPr>
        <w:spacing w:line="360" w:lineRule="auto"/>
        <w:ind w:firstLine="241" w:firstLineChars="100"/>
        <w:jc w:val="left"/>
        <w:rPr>
          <w:rFonts w:ascii="宋体" w:hAnsi="宋体" w:eastAsia="宋体" w:cs="Times New Roman"/>
          <w:b/>
          <w:sz w:val="24"/>
        </w:rPr>
      </w:pPr>
      <w:r>
        <w:rPr>
          <w:rFonts w:hint="eastAsia" w:ascii="宋体" w:hAnsi="宋体" w:eastAsia="宋体" w:cs="Times New Roman"/>
          <w:b/>
          <w:sz w:val="24"/>
        </w:rPr>
        <w:t>3、报价要求</w:t>
      </w:r>
    </w:p>
    <w:p>
      <w:pPr>
        <w:widowControl/>
        <w:spacing w:line="360" w:lineRule="auto"/>
        <w:ind w:firstLine="480" w:firstLineChars="200"/>
        <w:jc w:val="left"/>
        <w:rPr>
          <w:rFonts w:ascii="宋体" w:hAnsi="宋体" w:eastAsia="宋体" w:cs="宋体"/>
          <w:b/>
          <w:bCs/>
          <w:color w:val="000000"/>
          <w:kern w:val="0"/>
          <w:sz w:val="24"/>
        </w:rPr>
      </w:pPr>
      <w:r>
        <w:rPr>
          <w:sz w:val="24"/>
        </w:rPr>
        <w:t>本项目报总价及每种货物的单价报价，供应商报价为完成本项目所需的一切费用，采购人后期不在追加任何费用。所报总价不超过本项目预算，且每种货物</w:t>
      </w:r>
      <w:r>
        <w:rPr>
          <w:rFonts w:hint="eastAsia"/>
          <w:sz w:val="24"/>
        </w:rPr>
        <w:t>的单价报价不能超过该产品的单价最高单价。</w:t>
      </w:r>
    </w:p>
    <w:p>
      <w:pPr>
        <w:widowControl/>
        <w:jc w:val="center"/>
        <w:rPr>
          <w:rFonts w:ascii="宋体" w:hAnsi="宋体" w:eastAsia="宋体" w:cs="Arial"/>
          <w:b/>
          <w:bCs/>
          <w:color w:val="000000"/>
          <w:kern w:val="0"/>
          <w:sz w:val="28"/>
          <w:szCs w:val="28"/>
        </w:rPr>
      </w:pPr>
      <w:r>
        <w:rPr>
          <w:rFonts w:ascii="宋体" w:hAnsi="宋体" w:eastAsia="宋体" w:cs="宋体"/>
          <w:b/>
          <w:bCs/>
          <w:color w:val="000000"/>
          <w:kern w:val="0"/>
          <w:sz w:val="28"/>
          <w:szCs w:val="28"/>
        </w:rPr>
        <w:br w:type="page"/>
      </w:r>
      <w:r>
        <w:rPr>
          <w:rFonts w:hint="eastAsia" w:ascii="宋体" w:hAnsi="宋体" w:eastAsia="宋体" w:cs="Arial"/>
          <w:b/>
          <w:bCs/>
          <w:color w:val="000000"/>
          <w:kern w:val="0"/>
          <w:sz w:val="28"/>
          <w:szCs w:val="28"/>
        </w:rPr>
        <w:t>第三</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评标程序及评审细则</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第一条</w:t>
      </w:r>
      <w:r>
        <w:rPr>
          <w:rFonts w:hint="eastAsia" w:ascii="宋体" w:hAnsi="宋体" w:eastAsia="宋体"/>
          <w:sz w:val="24"/>
        </w:rPr>
        <w:t xml:space="preserve"> 评标工作于开标后进行。评委会应认真研究招标文件，至少应了解和熟悉以下内容：</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（一）招标的目标；</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（二）招标项目的范围和性质；</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（三）招标文件中规定的主要技术要求、标准和商务条款；</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（四）招标文件规定的评标标准、评标方法和在评标过程中考虑的相关因素。</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第二条</w:t>
      </w:r>
      <w:r>
        <w:rPr>
          <w:rFonts w:hint="eastAsia" w:ascii="宋体" w:hAnsi="宋体" w:eastAsia="宋体"/>
          <w:sz w:val="24"/>
        </w:rPr>
        <w:t xml:space="preserve"> 有效投标应符合以下原则：</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（一）满足招标文件的实质性要求；</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（二）无重大偏离、保留或采购人不能接受的附加条件；</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（三）通过投标有效性评审；</w:t>
      </w: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（四）评委会依据招标文件认定的其他原则。</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 xml:space="preserve">第三条 </w:t>
      </w:r>
      <w:r>
        <w:rPr>
          <w:rFonts w:hint="eastAsia" w:ascii="宋体" w:hAnsi="宋体" w:eastAsia="宋体"/>
          <w:sz w:val="24"/>
        </w:rPr>
        <w:t>评委会遵循公开、公平、公正和科学诚信的原则，依据招标文件的规定，对所有投标人提交的投标文件均采用相同程序和标准，进行评定。</w:t>
      </w:r>
    </w:p>
    <w:p>
      <w:pPr>
        <w:adjustRightInd w:val="0"/>
        <w:snapToGrid w:val="0"/>
        <w:spacing w:line="360" w:lineRule="auto"/>
        <w:ind w:right="-10" w:firstLine="482" w:firstLineChars="200"/>
        <w:rPr>
          <w:rFonts w:ascii="宋体" w:hAnsi="宋体" w:eastAsia="宋体"/>
          <w:sz w:val="24"/>
        </w:rPr>
      </w:pPr>
      <w:r>
        <w:rPr>
          <w:rFonts w:hint="eastAsia" w:ascii="宋体" w:hAnsi="宋体" w:eastAsia="宋体"/>
          <w:b/>
          <w:sz w:val="24"/>
        </w:rPr>
        <w:t xml:space="preserve">第四条 </w:t>
      </w:r>
      <w:r>
        <w:rPr>
          <w:rFonts w:hint="eastAsia" w:ascii="宋体" w:hAnsi="宋体" w:eastAsia="宋体"/>
          <w:sz w:val="24"/>
        </w:rPr>
        <w:t>评审中，评委会发现投标人的投标文件中对同类问题表述不一致、前后矛盾、有明显文字和计算错误的内容、有可能不符合招标文件规定等情况需要澄清时，评委会将以询标的方式告知并要求投标人以书面方式进行必要的澄清、说明或补正。对于询标后判定为不符合招标文件的投标文件，评委要提出充足的否定理由，并予以书面记录。最终对投标人的评审结论分为通过和未通过。</w:t>
      </w:r>
    </w:p>
    <w:tbl>
      <w:tblPr>
        <w:tblStyle w:val="11"/>
        <w:tblpPr w:leftFromText="180" w:rightFromText="180" w:vertAnchor="text" w:horzAnchor="page" w:tblpX="1629" w:tblpY="3"/>
        <w:tblOverlap w:val="never"/>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598"/>
        <w:gridCol w:w="2225"/>
        <w:gridCol w:w="992"/>
        <w:gridCol w:w="3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9039" w:type="dxa"/>
            <w:gridSpan w:val="5"/>
            <w:vAlign w:val="center"/>
          </w:tcPr>
          <w:p>
            <w:pPr>
              <w:adjustRightInd w:val="0"/>
              <w:snapToGrid w:val="0"/>
              <w:spacing w:line="360" w:lineRule="auto"/>
              <w:ind w:right="-10"/>
              <w:rPr>
                <w:rFonts w:ascii="宋体" w:hAnsi="宋体" w:eastAsia="宋体" w:cs="宋体"/>
                <w:b/>
                <w:bCs/>
                <w:sz w:val="24"/>
              </w:rPr>
            </w:pPr>
            <w:r>
              <w:rPr>
                <w:rFonts w:hint="eastAsia" w:ascii="宋体" w:hAnsi="宋体" w:eastAsia="宋体" w:cs="宋体"/>
                <w:b/>
                <w:bCs/>
                <w:sz w:val="24"/>
              </w:rPr>
              <w:t>一、初审指标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7" w:hRule="atLeast"/>
        </w:trPr>
        <w:tc>
          <w:tcPr>
            <w:tcW w:w="850"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序号</w:t>
            </w:r>
          </w:p>
        </w:tc>
        <w:tc>
          <w:tcPr>
            <w:tcW w:w="1598" w:type="dxa"/>
            <w:tcBorders>
              <w:bottom w:val="single" w:color="auto" w:sz="4" w:space="0"/>
            </w:tcBorders>
            <w:vAlign w:val="center"/>
          </w:tcPr>
          <w:p>
            <w:pPr>
              <w:pStyle w:val="15"/>
              <w:pBdr>
                <w:bottom w:val="none" w:color="auto" w:sz="0" w:space="0"/>
              </w:pBdr>
              <w:tabs>
                <w:tab w:val="clear" w:pos="4153"/>
                <w:tab w:val="clear" w:pos="8306"/>
              </w:tabs>
              <w:snapToGrid w:val="0"/>
              <w:spacing w:line="360" w:lineRule="auto"/>
              <w:ind w:right="-10"/>
              <w:textAlignment w:val="auto"/>
              <w:rPr>
                <w:rFonts w:ascii="宋体" w:hAnsi="宋体" w:eastAsia="宋体" w:cs="宋体"/>
                <w:b/>
                <w:kern w:val="2"/>
              </w:rPr>
            </w:pPr>
            <w:r>
              <w:rPr>
                <w:rFonts w:hint="eastAsia" w:ascii="宋体" w:hAnsi="宋体" w:eastAsia="宋体" w:cs="宋体"/>
                <w:b/>
                <w:kern w:val="2"/>
              </w:rPr>
              <w:t>指标名称</w:t>
            </w:r>
          </w:p>
        </w:tc>
        <w:tc>
          <w:tcPr>
            <w:tcW w:w="2225"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指标要求</w:t>
            </w:r>
          </w:p>
        </w:tc>
        <w:tc>
          <w:tcPr>
            <w:tcW w:w="992"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是否</w:t>
            </w:r>
          </w:p>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通过</w:t>
            </w:r>
          </w:p>
        </w:tc>
        <w:tc>
          <w:tcPr>
            <w:tcW w:w="3374" w:type="dxa"/>
            <w:tcBorders>
              <w:bottom w:val="single" w:color="auto" w:sz="4" w:space="0"/>
            </w:tcBorders>
            <w:vAlign w:val="center"/>
          </w:tcPr>
          <w:p>
            <w:pPr>
              <w:adjustRightInd w:val="0"/>
              <w:snapToGrid w:val="0"/>
              <w:spacing w:line="360" w:lineRule="auto"/>
              <w:ind w:right="-10"/>
              <w:jc w:val="center"/>
              <w:rPr>
                <w:rFonts w:ascii="宋体" w:hAnsi="宋体" w:eastAsia="宋体" w:cs="宋体"/>
                <w:b/>
                <w:sz w:val="24"/>
              </w:rPr>
            </w:pPr>
            <w:r>
              <w:rPr>
                <w:rFonts w:hint="eastAsia" w:ascii="宋体" w:hAnsi="宋体" w:eastAsia="宋体" w:cs="宋体"/>
                <w:b/>
                <w:sz w:val="24"/>
              </w:rPr>
              <w:t>投标文件格式及提交资料要求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46"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1</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营业执照</w:t>
            </w:r>
          </w:p>
        </w:tc>
        <w:tc>
          <w:tcPr>
            <w:tcW w:w="2225"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合法有效</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提供有效的营业执照复印件或影印件</w:t>
            </w:r>
            <w:r>
              <w:rPr>
                <w:rFonts w:hint="eastAsia" w:ascii="宋体" w:hAnsi="宋体" w:eastAsia="宋体" w:cs="宋体"/>
                <w:b/>
                <w:bCs/>
                <w:sz w:val="24"/>
              </w:rPr>
              <w:t>，</w:t>
            </w:r>
            <w:r>
              <w:rPr>
                <w:rFonts w:hint="eastAsia" w:ascii="宋体" w:hAnsi="宋体" w:eastAsia="宋体" w:cs="宋体"/>
                <w:bCs/>
                <w:sz w:val="24"/>
              </w:rPr>
              <w:t>应完整的体现出营业执照的全部内容。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2</w:t>
            </w:r>
          </w:p>
        </w:tc>
        <w:tc>
          <w:tcPr>
            <w:tcW w:w="1598"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无得大违法记录、无不良信用记录声明函</w:t>
            </w:r>
          </w:p>
        </w:tc>
        <w:tc>
          <w:tcPr>
            <w:tcW w:w="2225"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格式、填写要求符合招标文件规定并加盖公章</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62"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3</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投标授权书</w:t>
            </w:r>
          </w:p>
        </w:tc>
        <w:tc>
          <w:tcPr>
            <w:tcW w:w="2225" w:type="dxa"/>
            <w:vAlign w:val="center"/>
          </w:tcPr>
          <w:p>
            <w:pPr>
              <w:spacing w:after="50" w:line="360" w:lineRule="auto"/>
              <w:ind w:right="-10"/>
              <w:rPr>
                <w:rFonts w:ascii="宋体" w:hAnsi="宋体" w:eastAsia="宋体" w:cs="宋体"/>
                <w:sz w:val="24"/>
              </w:rPr>
            </w:pPr>
            <w:r>
              <w:rPr>
                <w:rFonts w:hint="eastAsia" w:ascii="宋体" w:hAnsi="宋体" w:eastAsia="宋体" w:cs="宋体"/>
                <w:sz w:val="24"/>
              </w:rPr>
              <w:t>格式、填写要求符合招标文件规定并加盖供应商签章</w:t>
            </w: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9" w:hRule="atLeast"/>
        </w:trPr>
        <w:tc>
          <w:tcPr>
            <w:tcW w:w="850" w:type="dxa"/>
            <w:vAlign w:val="center"/>
          </w:tcPr>
          <w:p>
            <w:pPr>
              <w:adjustRightInd w:val="0"/>
              <w:snapToGrid w:val="0"/>
              <w:spacing w:line="360" w:lineRule="auto"/>
              <w:ind w:right="-10"/>
              <w:jc w:val="center"/>
              <w:rPr>
                <w:rFonts w:ascii="宋体" w:hAnsi="宋体" w:eastAsia="宋体" w:cs="宋体"/>
                <w:sz w:val="24"/>
              </w:rPr>
            </w:pPr>
            <w:r>
              <w:rPr>
                <w:rFonts w:hint="eastAsia" w:ascii="宋体" w:hAnsi="宋体" w:eastAsia="宋体" w:cs="宋体"/>
                <w:sz w:val="24"/>
              </w:rPr>
              <w:t>4</w:t>
            </w:r>
          </w:p>
        </w:tc>
        <w:tc>
          <w:tcPr>
            <w:tcW w:w="1598" w:type="dxa"/>
            <w:vAlign w:val="center"/>
          </w:tcPr>
          <w:p>
            <w:pPr>
              <w:spacing w:after="50" w:line="360" w:lineRule="auto"/>
              <w:ind w:right="-10"/>
              <w:jc w:val="center"/>
              <w:rPr>
                <w:rFonts w:ascii="宋体" w:hAnsi="宋体" w:eastAsia="宋体" w:cs="宋体"/>
                <w:sz w:val="24"/>
              </w:rPr>
            </w:pPr>
            <w:r>
              <w:rPr>
                <w:rFonts w:hint="eastAsia" w:ascii="宋体" w:hAnsi="宋体" w:eastAsia="宋体" w:cs="宋体"/>
                <w:sz w:val="24"/>
              </w:rPr>
              <w:t>投标报价</w:t>
            </w:r>
          </w:p>
        </w:tc>
        <w:tc>
          <w:tcPr>
            <w:tcW w:w="2225" w:type="dxa"/>
            <w:vAlign w:val="center"/>
          </w:tcPr>
          <w:p>
            <w:pPr>
              <w:spacing w:after="50" w:line="360" w:lineRule="auto"/>
              <w:ind w:right="-10"/>
              <w:rPr>
                <w:rFonts w:ascii="宋体" w:hAnsi="宋体" w:eastAsia="宋体" w:cs="宋体"/>
                <w:sz w:val="24"/>
              </w:rPr>
            </w:pPr>
          </w:p>
        </w:tc>
        <w:tc>
          <w:tcPr>
            <w:tcW w:w="992" w:type="dxa"/>
            <w:vAlign w:val="center"/>
          </w:tcPr>
          <w:p>
            <w:pPr>
              <w:adjustRightInd w:val="0"/>
              <w:snapToGrid w:val="0"/>
              <w:spacing w:line="360" w:lineRule="auto"/>
              <w:ind w:right="-10"/>
              <w:rPr>
                <w:rFonts w:ascii="宋体" w:hAnsi="宋体" w:eastAsia="宋体" w:cs="宋体"/>
                <w:sz w:val="24"/>
              </w:rPr>
            </w:pPr>
          </w:p>
        </w:tc>
        <w:tc>
          <w:tcPr>
            <w:tcW w:w="3374" w:type="dxa"/>
            <w:vAlign w:val="center"/>
          </w:tcPr>
          <w:p>
            <w:pPr>
              <w:adjustRightInd w:val="0"/>
              <w:snapToGrid w:val="0"/>
              <w:spacing w:line="360" w:lineRule="auto"/>
              <w:ind w:right="-10"/>
              <w:rPr>
                <w:rFonts w:ascii="宋体" w:hAnsi="宋体" w:eastAsia="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2" w:hRule="atLeast"/>
        </w:trPr>
        <w:tc>
          <w:tcPr>
            <w:tcW w:w="9039" w:type="dxa"/>
            <w:gridSpan w:val="5"/>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初审指标通过标准：投标人必须通过上述全部指标。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8" w:hRule="atLeast"/>
        </w:trPr>
        <w:tc>
          <w:tcPr>
            <w:tcW w:w="9039" w:type="dxa"/>
            <w:gridSpan w:val="5"/>
            <w:vAlign w:val="center"/>
          </w:tcPr>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评委签字：</w:t>
            </w:r>
          </w:p>
          <w:p>
            <w:pPr>
              <w:adjustRightInd w:val="0"/>
              <w:snapToGrid w:val="0"/>
              <w:spacing w:line="360" w:lineRule="auto"/>
              <w:ind w:right="-10"/>
              <w:rPr>
                <w:rFonts w:ascii="宋体" w:hAnsi="宋体" w:eastAsia="宋体" w:cs="宋体"/>
                <w:sz w:val="24"/>
              </w:rPr>
            </w:pPr>
          </w:p>
          <w:p>
            <w:pPr>
              <w:adjustRightInd w:val="0"/>
              <w:snapToGrid w:val="0"/>
              <w:spacing w:line="360" w:lineRule="auto"/>
              <w:ind w:right="-10"/>
              <w:rPr>
                <w:rFonts w:ascii="宋体" w:hAnsi="宋体" w:eastAsia="宋体" w:cs="宋体"/>
                <w:sz w:val="24"/>
              </w:rPr>
            </w:pPr>
            <w:r>
              <w:rPr>
                <w:rFonts w:hint="eastAsia" w:ascii="宋体" w:hAnsi="宋体" w:eastAsia="宋体" w:cs="宋体"/>
                <w:sz w:val="24"/>
              </w:rPr>
              <w:t>评审时间：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4" w:hRule="atLeast"/>
        </w:trPr>
        <w:tc>
          <w:tcPr>
            <w:tcW w:w="9039" w:type="dxa"/>
            <w:gridSpan w:val="5"/>
          </w:tcPr>
          <w:p>
            <w:pPr>
              <w:pStyle w:val="5"/>
              <w:spacing w:line="360" w:lineRule="auto"/>
              <w:ind w:left="0" w:leftChars="0" w:right="-10"/>
              <w:rPr>
                <w:rFonts w:ascii="宋体" w:hAnsi="宋体" w:eastAsia="宋体" w:cs="宋体"/>
                <w:b/>
                <w:sz w:val="24"/>
              </w:rPr>
            </w:pPr>
            <w:r>
              <w:rPr>
                <w:rFonts w:hint="eastAsia" w:ascii="宋体" w:hAnsi="宋体" w:eastAsia="宋体" w:cs="宋体"/>
                <w:b/>
                <w:bCs/>
                <w:sz w:val="24"/>
              </w:rPr>
              <w:t>注：无论何种原因，即使投标人开标时携带了证书材料的原件，但在投标文件中未提供与之内容完全一致的复印件或影印件的，评标委员会可以视同其未提供。</w:t>
            </w:r>
          </w:p>
        </w:tc>
      </w:tr>
    </w:tbl>
    <w:p>
      <w:pPr>
        <w:adjustRightInd w:val="0"/>
        <w:snapToGrid w:val="0"/>
        <w:spacing w:line="360" w:lineRule="auto"/>
        <w:ind w:right="-10"/>
        <w:rPr>
          <w:rFonts w:ascii="宋体" w:hAnsi="宋体" w:eastAsia="宋体"/>
          <w:sz w:val="24"/>
        </w:rPr>
      </w:pPr>
    </w:p>
    <w:p>
      <w:pPr>
        <w:adjustRightInd w:val="0"/>
        <w:snapToGrid w:val="0"/>
        <w:spacing w:line="360" w:lineRule="auto"/>
        <w:ind w:right="-10" w:firstLine="480" w:firstLineChars="200"/>
        <w:rPr>
          <w:rFonts w:ascii="宋体" w:hAnsi="宋体" w:eastAsia="宋体"/>
          <w:sz w:val="24"/>
        </w:rPr>
      </w:pPr>
      <w:r>
        <w:rPr>
          <w:rFonts w:hint="eastAsia" w:ascii="宋体" w:hAnsi="宋体" w:eastAsia="宋体"/>
          <w:sz w:val="24"/>
        </w:rPr>
        <w:t>评标成员签字的原始评标记录和评标结果编写的报告，评委会全体成员及监督员均须在评审纪要上签字。评审纪要应如实记录本次评标的主要过程，全面反映评标过程中的各种不同的意见，以及其他澄清、说明、补正事项。</w:t>
      </w:r>
    </w:p>
    <w:p>
      <w:pPr>
        <w:adjustRightInd w:val="0"/>
        <w:snapToGrid w:val="0"/>
        <w:spacing w:line="360" w:lineRule="auto"/>
        <w:ind w:right="-10"/>
        <w:rPr>
          <w:rFonts w:ascii="宋体" w:hAnsi="宋体" w:eastAsia="宋体"/>
          <w:b/>
          <w:sz w:val="24"/>
        </w:rPr>
      </w:pPr>
    </w:p>
    <w:p>
      <w:pPr>
        <w:widowControl/>
        <w:jc w:val="left"/>
        <w:rPr>
          <w:rFonts w:ascii="宋体" w:hAnsi="宋体" w:eastAsia="宋体"/>
          <w:b/>
          <w:sz w:val="24"/>
        </w:rPr>
      </w:pPr>
      <w:r>
        <w:rPr>
          <w:rFonts w:ascii="宋体" w:hAnsi="宋体" w:eastAsia="宋体"/>
          <w:b/>
          <w:sz w:val="24"/>
        </w:rPr>
        <w:br w:type="page"/>
      </w:r>
    </w:p>
    <w:p>
      <w:pPr>
        <w:adjustRightInd w:val="0"/>
        <w:snapToGrid w:val="0"/>
        <w:spacing w:line="360" w:lineRule="auto"/>
        <w:ind w:right="-10"/>
        <w:jc w:val="center"/>
        <w:rPr>
          <w:rFonts w:ascii="宋体" w:hAnsi="宋体" w:eastAsia="宋体"/>
          <w:b/>
          <w:sz w:val="28"/>
          <w:szCs w:val="28"/>
        </w:rPr>
      </w:pPr>
      <w:r>
        <w:rPr>
          <w:rFonts w:hint="eastAsia" w:ascii="宋体" w:hAnsi="宋体" w:eastAsia="宋体" w:cs="Arial"/>
          <w:b/>
          <w:bCs/>
          <w:color w:val="000000"/>
          <w:kern w:val="0"/>
          <w:sz w:val="28"/>
          <w:szCs w:val="28"/>
        </w:rPr>
        <w:t>第四</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w:t>
      </w:r>
      <w:r>
        <w:rPr>
          <w:rFonts w:hint="eastAsia" w:ascii="宋体" w:hAnsi="宋体" w:eastAsia="宋体"/>
          <w:b/>
          <w:sz w:val="28"/>
          <w:szCs w:val="28"/>
        </w:rPr>
        <w:t>综合评分办法</w:t>
      </w:r>
    </w:p>
    <w:p>
      <w:pPr>
        <w:adjustRightInd w:val="0"/>
        <w:snapToGrid w:val="0"/>
        <w:spacing w:line="360" w:lineRule="auto"/>
        <w:ind w:right="-10" w:firstLine="480" w:firstLineChars="200"/>
        <w:jc w:val="left"/>
        <w:rPr>
          <w:rFonts w:ascii="宋体" w:hAnsi="宋体" w:eastAsia="宋体"/>
          <w:sz w:val="24"/>
        </w:rPr>
      </w:pPr>
      <w:r>
        <w:rPr>
          <w:rFonts w:ascii="宋体" w:hAnsi="宋体" w:eastAsia="宋体"/>
          <w:sz w:val="24"/>
        </w:rPr>
        <w:t>本项目综合评分满分为100分，其中：技术资信分值占总分值的权重为</w:t>
      </w:r>
      <w:r>
        <w:rPr>
          <w:rFonts w:hint="eastAsia" w:ascii="宋体" w:hAnsi="宋体" w:eastAsia="宋体"/>
          <w:sz w:val="24"/>
        </w:rPr>
        <w:t>7</w:t>
      </w:r>
      <w:r>
        <w:rPr>
          <w:rFonts w:ascii="宋体" w:hAnsi="宋体" w:eastAsia="宋体"/>
          <w:sz w:val="24"/>
        </w:rPr>
        <w:t>0%，价格分值占总分值的权重为</w:t>
      </w:r>
      <w:r>
        <w:rPr>
          <w:rFonts w:hint="eastAsia" w:ascii="宋体" w:hAnsi="宋体" w:eastAsia="宋体"/>
          <w:sz w:val="24"/>
        </w:rPr>
        <w:t>3</w:t>
      </w:r>
      <w:r>
        <w:rPr>
          <w:rFonts w:ascii="宋体" w:hAnsi="宋体" w:eastAsia="宋体"/>
          <w:sz w:val="24"/>
        </w:rPr>
        <w:t>0%。具体评分细则如下：</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05"/>
        <w:gridCol w:w="1291"/>
        <w:gridCol w:w="4542"/>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Cs w:val="21"/>
              </w:rPr>
            </w:pPr>
            <w:r>
              <w:rPr>
                <w:rFonts w:hint="eastAsia" w:asciiTheme="minorEastAsia" w:hAnsiTheme="minorEastAsia"/>
                <w:b/>
                <w:szCs w:val="21"/>
              </w:rPr>
              <w:t>评分指标</w:t>
            </w: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Cs w:val="21"/>
              </w:rPr>
            </w:pPr>
            <w:r>
              <w:rPr>
                <w:rFonts w:hint="eastAsia" w:asciiTheme="minorEastAsia" w:hAnsiTheme="minorEastAsia"/>
                <w:b/>
                <w:szCs w:val="21"/>
              </w:rPr>
              <w:t>评分内容</w:t>
            </w:r>
          </w:p>
        </w:tc>
        <w:tc>
          <w:tcPr>
            <w:tcW w:w="4542" w:type="dxa"/>
            <w:tcBorders>
              <w:top w:val="single" w:color="auto" w:sz="4" w:space="0"/>
              <w:left w:val="single" w:color="auto" w:sz="4" w:space="0"/>
              <w:bottom w:val="single" w:color="auto" w:sz="4" w:space="0"/>
              <w:right w:val="single" w:color="auto" w:sz="4" w:space="0"/>
            </w:tcBorders>
          </w:tcPr>
          <w:p>
            <w:pPr>
              <w:spacing w:line="360" w:lineRule="auto"/>
              <w:jc w:val="center"/>
              <w:rPr>
                <w:rFonts w:asciiTheme="minorEastAsia" w:hAnsiTheme="minorEastAsia"/>
                <w:b/>
                <w:szCs w:val="21"/>
              </w:rPr>
            </w:pPr>
            <w:r>
              <w:rPr>
                <w:rFonts w:hint="eastAsia" w:asciiTheme="minorEastAsia" w:hAnsiTheme="minorEastAsia"/>
                <w:b/>
                <w:szCs w:val="21"/>
              </w:rPr>
              <w:t>评分标准</w:t>
            </w:r>
          </w:p>
        </w:tc>
        <w:tc>
          <w:tcPr>
            <w:tcW w:w="1184" w:type="dxa"/>
            <w:tcBorders>
              <w:top w:val="single" w:color="auto" w:sz="4" w:space="0"/>
              <w:left w:val="single" w:color="auto" w:sz="4" w:space="0"/>
              <w:bottom w:val="single" w:color="auto" w:sz="4" w:space="0"/>
              <w:right w:val="single" w:color="auto" w:sz="4" w:space="0"/>
            </w:tcBorders>
          </w:tcPr>
          <w:p>
            <w:pPr>
              <w:spacing w:line="360" w:lineRule="auto"/>
              <w:jc w:val="center"/>
              <w:rPr>
                <w:rFonts w:asciiTheme="minorEastAsia" w:hAnsiTheme="minorEastAsia"/>
                <w:b/>
                <w:szCs w:val="21"/>
              </w:rPr>
            </w:pPr>
            <w:r>
              <w:rPr>
                <w:rFonts w:hint="eastAsia" w:asciiTheme="minorEastAsia" w:hAnsiTheme="minorEastAsia"/>
                <w:b/>
                <w:szCs w:val="21"/>
              </w:rPr>
              <w:t>分值范围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vMerge w:val="restart"/>
            <w:tcBorders>
              <w:top w:val="single" w:color="auto" w:sz="4" w:space="0"/>
              <w:left w:val="single" w:color="auto" w:sz="4" w:space="0"/>
              <w:right w:val="single" w:color="auto" w:sz="4" w:space="0"/>
            </w:tcBorders>
            <w:vAlign w:val="center"/>
          </w:tcPr>
          <w:p>
            <w:pPr>
              <w:spacing w:line="360" w:lineRule="auto"/>
              <w:jc w:val="center"/>
              <w:rPr>
                <w:rFonts w:asciiTheme="minorEastAsia" w:hAnsiTheme="minorEastAsia"/>
                <w:b/>
                <w:szCs w:val="21"/>
              </w:rPr>
            </w:pPr>
            <w:r>
              <w:rPr>
                <w:rFonts w:hint="eastAsia" w:asciiTheme="minorEastAsia" w:hAnsiTheme="minorEastAsia"/>
                <w:szCs w:val="21"/>
              </w:rPr>
              <w:t>技术资信分（70 分）</w:t>
            </w: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Cs/>
                <w:szCs w:val="21"/>
              </w:rPr>
            </w:pPr>
            <w:r>
              <w:rPr>
                <w:rFonts w:hint="eastAsia" w:cs="Times New Roman" w:asciiTheme="minorEastAsia" w:hAnsiTheme="minorEastAsia"/>
                <w:szCs w:val="21"/>
              </w:rPr>
              <w:t>技术参数及要求</w:t>
            </w:r>
          </w:p>
        </w:tc>
        <w:tc>
          <w:tcPr>
            <w:tcW w:w="4542" w:type="dxa"/>
            <w:tcBorders>
              <w:top w:val="single" w:color="auto" w:sz="4" w:space="0"/>
              <w:left w:val="single" w:color="auto" w:sz="4" w:space="0"/>
              <w:bottom w:val="single" w:color="auto" w:sz="4" w:space="0"/>
              <w:right w:val="single" w:color="auto" w:sz="4" w:space="0"/>
            </w:tcBorders>
          </w:tcPr>
          <w:p>
            <w:pPr>
              <w:spacing w:line="360" w:lineRule="auto"/>
              <w:rPr>
                <w:rFonts w:cs="Times New Roman" w:asciiTheme="minorEastAsia" w:hAnsiTheme="minorEastAsia"/>
                <w:szCs w:val="21"/>
              </w:rPr>
            </w:pPr>
            <w:r>
              <w:rPr>
                <w:rFonts w:hint="eastAsia" w:asciiTheme="minorEastAsia" w:hAnsiTheme="minorEastAsia"/>
                <w:szCs w:val="21"/>
              </w:rPr>
              <w:t>评审</w:t>
            </w:r>
            <w:r>
              <w:rPr>
                <w:rFonts w:hint="eastAsia" w:cs="Times New Roman" w:asciiTheme="minorEastAsia" w:hAnsiTheme="minorEastAsia"/>
                <w:szCs w:val="21"/>
              </w:rPr>
              <w:t>小组根据各供应商所投产品对采购文件采购需求中设备技术参数及要求的响应情况进行评分：</w:t>
            </w:r>
          </w:p>
          <w:p>
            <w:pPr>
              <w:spacing w:line="360" w:lineRule="auto"/>
              <w:rPr>
                <w:rFonts w:cs="Times New Roman" w:asciiTheme="minorEastAsia" w:hAnsiTheme="minorEastAsia"/>
                <w:szCs w:val="21"/>
              </w:rPr>
            </w:pPr>
            <w:r>
              <w:rPr>
                <w:rFonts w:hint="eastAsia" w:cs="Times New Roman" w:asciiTheme="minorEastAsia" w:hAnsiTheme="minorEastAsia"/>
                <w:szCs w:val="21"/>
              </w:rPr>
              <w:t>1、技术参数及要求全部满足或优于招标文件要求的，得满分</w:t>
            </w:r>
            <w:r>
              <w:rPr>
                <w:rFonts w:cs="Times New Roman" w:asciiTheme="minorEastAsia" w:hAnsiTheme="minorEastAsia"/>
                <w:szCs w:val="21"/>
              </w:rPr>
              <w:t>45</w:t>
            </w:r>
            <w:r>
              <w:rPr>
                <w:rFonts w:hint="eastAsia" w:cs="Times New Roman" w:asciiTheme="minorEastAsia" w:hAnsiTheme="minorEastAsia"/>
                <w:szCs w:val="21"/>
              </w:rPr>
              <w:t>分，标注★技术参数及要求每满足1项得3分。</w:t>
            </w:r>
          </w:p>
          <w:p>
            <w:pPr>
              <w:spacing w:line="360" w:lineRule="auto"/>
              <w:rPr>
                <w:rFonts w:cs="Times New Roman" w:asciiTheme="minorEastAsia" w:hAnsiTheme="minorEastAsia"/>
                <w:szCs w:val="21"/>
              </w:rPr>
            </w:pPr>
            <w:r>
              <w:rPr>
                <w:rFonts w:cs="Times New Roman" w:asciiTheme="minorEastAsia" w:hAnsiTheme="minorEastAsia"/>
                <w:szCs w:val="21"/>
              </w:rPr>
              <w:t>2</w:t>
            </w:r>
            <w:r>
              <w:rPr>
                <w:rFonts w:hint="eastAsia" w:cs="Times New Roman" w:asciiTheme="minorEastAsia" w:hAnsiTheme="minorEastAsia"/>
                <w:szCs w:val="21"/>
              </w:rPr>
              <w:t>、未标★技术参数</w:t>
            </w:r>
            <w:r>
              <w:rPr>
                <w:rFonts w:hint="eastAsia" w:asciiTheme="minorEastAsia" w:hAnsiTheme="minorEastAsia"/>
                <w:szCs w:val="21"/>
              </w:rPr>
              <w:t>有</w:t>
            </w:r>
            <w:r>
              <w:rPr>
                <w:rFonts w:asciiTheme="minorEastAsia" w:hAnsiTheme="minorEastAsia"/>
                <w:szCs w:val="21"/>
              </w:rPr>
              <w:t>3</w:t>
            </w:r>
            <w:r>
              <w:rPr>
                <w:rFonts w:hint="eastAsia" w:asciiTheme="minorEastAsia" w:hAnsiTheme="minorEastAsia"/>
                <w:szCs w:val="21"/>
              </w:rPr>
              <w:t>条及以上未响应或负偏离的，将导致投标无效/响应无效。</w:t>
            </w:r>
          </w:p>
          <w:p>
            <w:pPr>
              <w:spacing w:line="360" w:lineRule="auto"/>
              <w:jc w:val="left"/>
              <w:rPr>
                <w:rFonts w:asciiTheme="minorEastAsia" w:hAnsiTheme="minorEastAsia"/>
                <w:b/>
                <w:szCs w:val="21"/>
              </w:rPr>
            </w:pPr>
            <w:r>
              <w:rPr>
                <w:rFonts w:hint="eastAsia" w:cs="Times New Roman" w:asciiTheme="minorEastAsia" w:hAnsiTheme="minorEastAsia"/>
                <w:b/>
                <w:szCs w:val="21"/>
              </w:rPr>
              <w:t>注：以招标响应表中要求提供的证明材料（如有）作为评审依据。</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Cs w:val="21"/>
              </w:rPr>
            </w:pPr>
            <w:r>
              <w:rPr>
                <w:rStyle w:val="14"/>
                <w:rFonts w:hint="default" w:asciiTheme="minorEastAsia" w:hAnsiTheme="minorEastAsia" w:eastAsiaTheme="minorEastAsia"/>
                <w:sz w:val="21"/>
                <w:szCs w:val="21"/>
              </w:rPr>
              <w:t>0-45分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vMerge w:val="continue"/>
            <w:tcBorders>
              <w:left w:val="single" w:color="auto" w:sz="4" w:space="0"/>
              <w:right w:val="single" w:color="auto" w:sz="4" w:space="0"/>
            </w:tcBorders>
            <w:vAlign w:val="center"/>
          </w:tcPr>
          <w:p>
            <w:pPr>
              <w:spacing w:line="360" w:lineRule="auto"/>
              <w:rPr>
                <w:rFonts w:asciiTheme="minorEastAsia" w:hAnsiTheme="minorEastAsia"/>
                <w:szCs w:val="21"/>
              </w:rPr>
            </w:pPr>
          </w:p>
        </w:tc>
        <w:tc>
          <w:tcPr>
            <w:tcW w:w="129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Cs/>
                <w:szCs w:val="21"/>
              </w:rPr>
            </w:pPr>
            <w:r>
              <w:rPr>
                <w:rFonts w:hint="eastAsia" w:cs="Times New Roman" w:asciiTheme="minorEastAsia" w:hAnsiTheme="minorEastAsia"/>
                <w:szCs w:val="21"/>
              </w:rPr>
              <w:t>供货安装（调试）及售后方案</w:t>
            </w:r>
          </w:p>
        </w:tc>
        <w:tc>
          <w:tcPr>
            <w:tcW w:w="4542" w:type="dxa"/>
            <w:tcBorders>
              <w:top w:val="single" w:color="auto" w:sz="4" w:space="0"/>
              <w:left w:val="single" w:color="auto" w:sz="4" w:space="0"/>
              <w:bottom w:val="single" w:color="auto" w:sz="4" w:space="0"/>
              <w:right w:val="single" w:color="auto" w:sz="4" w:space="0"/>
            </w:tcBorders>
          </w:tcPr>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投标人根据项目特点提供项目的实施方案（包括但不限于：项目实施的技术力量和人员安排，供货质量的保证措施，供货期的保证方案和措，对本项的培训方案），评委会根据实施方案进行综合评审，未提供或提供差的不得分：</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一、技术力量</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（1）项目实施中技术力量分配合理，人员配备科学的供货质量保廉政措施具体可行的，得</w:t>
            </w:r>
            <w:r>
              <w:rPr>
                <w:rFonts w:asciiTheme="minorEastAsia" w:hAnsiTheme="minorEastAsia" w:eastAsiaTheme="minorEastAsia"/>
                <w:szCs w:val="21"/>
              </w:rPr>
              <w:t>6</w:t>
            </w:r>
            <w:r>
              <w:rPr>
                <w:rFonts w:hint="eastAsia" w:asciiTheme="minorEastAsia" w:hAnsiTheme="minorEastAsia" w:eastAsiaTheme="minorEastAsia"/>
                <w:szCs w:val="21"/>
              </w:rPr>
              <w:t>分；</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（2）项目实施中技术力量分配较合理，人员配备较科学的，供货质量保证措施较具体可行的，得</w:t>
            </w:r>
            <w:r>
              <w:rPr>
                <w:rFonts w:asciiTheme="minorEastAsia" w:hAnsiTheme="minorEastAsia" w:eastAsiaTheme="minorEastAsia"/>
                <w:szCs w:val="21"/>
              </w:rPr>
              <w:t>4</w:t>
            </w:r>
            <w:r>
              <w:rPr>
                <w:rFonts w:hint="eastAsia" w:asciiTheme="minorEastAsia" w:hAnsiTheme="minorEastAsia" w:eastAsiaTheme="minorEastAsia"/>
                <w:szCs w:val="21"/>
              </w:rPr>
              <w:t>分；</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（3）项目实施中技术力量、人员配备、供货质量保证措施须进一步完善的，得</w:t>
            </w:r>
            <w:r>
              <w:rPr>
                <w:rFonts w:asciiTheme="minorEastAsia" w:hAnsiTheme="minorEastAsia" w:eastAsiaTheme="minorEastAsia"/>
                <w:szCs w:val="21"/>
              </w:rPr>
              <w:t>1</w:t>
            </w:r>
            <w:r>
              <w:rPr>
                <w:rFonts w:hint="eastAsia" w:asciiTheme="minorEastAsia" w:hAnsiTheme="minorEastAsia" w:eastAsiaTheme="minorEastAsia"/>
                <w:szCs w:val="21"/>
              </w:rPr>
              <w:t>分；</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（4）差或未提供的不得分。</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二、培训方案</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（1）供货期的保证措施科学合理，培训方案针对性、可执行性强的，得</w:t>
            </w:r>
            <w:r>
              <w:rPr>
                <w:rFonts w:asciiTheme="minorEastAsia" w:hAnsiTheme="minorEastAsia" w:eastAsiaTheme="minorEastAsia"/>
                <w:szCs w:val="21"/>
              </w:rPr>
              <w:t>5</w:t>
            </w:r>
            <w:r>
              <w:rPr>
                <w:rFonts w:hint="eastAsia" w:asciiTheme="minorEastAsia" w:hAnsiTheme="minorEastAsia" w:eastAsiaTheme="minorEastAsia"/>
                <w:szCs w:val="21"/>
              </w:rPr>
              <w:t>分；</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（2）供货期的保证措施较科学合理，培训方案针对性、可执行性较强的，得</w:t>
            </w:r>
            <w:r>
              <w:rPr>
                <w:rFonts w:asciiTheme="minorEastAsia" w:hAnsiTheme="minorEastAsia" w:eastAsiaTheme="minorEastAsia"/>
                <w:szCs w:val="21"/>
              </w:rPr>
              <w:t>3</w:t>
            </w:r>
            <w:r>
              <w:rPr>
                <w:rFonts w:hint="eastAsia" w:asciiTheme="minorEastAsia" w:hAnsiTheme="minorEastAsia" w:eastAsiaTheme="minorEastAsia"/>
                <w:szCs w:val="21"/>
              </w:rPr>
              <w:t>分；</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（3）供货期的保证措施、培训方案有待进一步完善的，得</w:t>
            </w:r>
            <w:r>
              <w:rPr>
                <w:rFonts w:asciiTheme="minorEastAsia" w:hAnsiTheme="minorEastAsia" w:eastAsiaTheme="minorEastAsia"/>
                <w:szCs w:val="21"/>
              </w:rPr>
              <w:t>1</w:t>
            </w:r>
            <w:r>
              <w:rPr>
                <w:rFonts w:hint="eastAsia" w:asciiTheme="minorEastAsia" w:hAnsiTheme="minorEastAsia" w:eastAsiaTheme="minorEastAsia"/>
                <w:szCs w:val="21"/>
              </w:rPr>
              <w:t>分；</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（4）差或未提供的不得分。</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三、售后服务方案</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根据售后服务计划或方案情况、服务电话设置、响应、到场时间长短，评委会进行综合评审，差或未提供的不得分：</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1）售后服务计划完善充实，服务电话数量设置充足，响应时间快速的得</w:t>
            </w:r>
            <w:r>
              <w:rPr>
                <w:rFonts w:asciiTheme="minorEastAsia" w:hAnsiTheme="minorEastAsia" w:eastAsiaTheme="minorEastAsia"/>
                <w:szCs w:val="21"/>
              </w:rPr>
              <w:t>5</w:t>
            </w:r>
            <w:r>
              <w:rPr>
                <w:rFonts w:hint="eastAsia" w:asciiTheme="minorEastAsia" w:hAnsiTheme="minorEastAsia" w:eastAsiaTheme="minorEastAsia"/>
                <w:szCs w:val="21"/>
              </w:rPr>
              <w:t>分；</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2）售后服务计划较完善充实，服务电话数量设置较充足，响应时间较快的得</w:t>
            </w:r>
            <w:r>
              <w:rPr>
                <w:rFonts w:asciiTheme="minorEastAsia" w:hAnsiTheme="minorEastAsia" w:eastAsiaTheme="minorEastAsia"/>
                <w:szCs w:val="21"/>
              </w:rPr>
              <w:t>3</w:t>
            </w:r>
            <w:r>
              <w:rPr>
                <w:rFonts w:hint="eastAsia" w:asciiTheme="minorEastAsia" w:hAnsiTheme="minorEastAsia" w:eastAsiaTheme="minorEastAsia"/>
                <w:szCs w:val="21"/>
              </w:rPr>
              <w:t>分；</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3）售后服务能力有待提高和加强的得</w:t>
            </w:r>
            <w:r>
              <w:rPr>
                <w:rFonts w:asciiTheme="minorEastAsia" w:hAnsiTheme="minorEastAsia" w:eastAsiaTheme="minorEastAsia"/>
                <w:szCs w:val="21"/>
              </w:rPr>
              <w:t>1</w:t>
            </w:r>
            <w:r>
              <w:rPr>
                <w:rFonts w:hint="eastAsia" w:asciiTheme="minorEastAsia" w:hAnsiTheme="minorEastAsia" w:eastAsiaTheme="minorEastAsia"/>
                <w:szCs w:val="21"/>
              </w:rPr>
              <w:t>分。</w:t>
            </w:r>
          </w:p>
          <w:p>
            <w:pPr>
              <w:spacing w:line="360" w:lineRule="auto"/>
              <w:jc w:val="left"/>
              <w:rPr>
                <w:rFonts w:asciiTheme="minorEastAsia" w:hAnsiTheme="minorEastAsia"/>
                <w:b/>
                <w:color w:val="000000"/>
                <w:szCs w:val="21"/>
              </w:rPr>
            </w:pPr>
            <w:r>
              <w:rPr>
                <w:rFonts w:hint="eastAsia" w:cs="Times New Roman" w:asciiTheme="minorEastAsia" w:hAnsiTheme="minorEastAsia"/>
                <w:szCs w:val="21"/>
              </w:rPr>
              <w:t>4）差或未提供的不得分。</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b/>
                <w:szCs w:val="21"/>
              </w:rPr>
            </w:pPr>
            <w:r>
              <w:rPr>
                <w:rFonts w:hint="eastAsia" w:asciiTheme="minorEastAsia" w:hAnsiTheme="minorEastAsia"/>
                <w:szCs w:val="21"/>
              </w:rPr>
              <w:t>0-</w:t>
            </w:r>
            <w:r>
              <w:rPr>
                <w:rFonts w:asciiTheme="minorEastAsia" w:hAnsiTheme="minorEastAsia"/>
                <w:szCs w:val="21"/>
              </w:rPr>
              <w:t>16</w:t>
            </w:r>
            <w:r>
              <w:rPr>
                <w:rFonts w:hint="eastAsia" w:asciiTheme="minorEastAsia" w:hAnsiTheme="minorEastAsia"/>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vMerge w:val="continue"/>
            <w:tcBorders>
              <w:left w:val="single" w:color="auto" w:sz="4" w:space="0"/>
              <w:right w:val="single" w:color="auto" w:sz="4" w:space="0"/>
            </w:tcBorders>
            <w:vAlign w:val="center"/>
          </w:tcPr>
          <w:p>
            <w:pPr>
              <w:spacing w:line="360" w:lineRule="auto"/>
              <w:rPr>
                <w:rFonts w:asciiTheme="minorEastAsia" w:hAnsiTheme="minorEastAsia"/>
                <w:szCs w:val="21"/>
              </w:rPr>
            </w:pPr>
          </w:p>
        </w:tc>
        <w:tc>
          <w:tcPr>
            <w:tcW w:w="1291" w:type="dxa"/>
            <w:tcBorders>
              <w:top w:val="single" w:color="auto" w:sz="4" w:space="0"/>
              <w:left w:val="single" w:color="auto" w:sz="4" w:space="0"/>
              <w:bottom w:val="single" w:color="auto" w:sz="4" w:space="0"/>
              <w:right w:val="single" w:color="auto" w:sz="4" w:space="0"/>
            </w:tcBorders>
            <w:vAlign w:val="center"/>
          </w:tcPr>
          <w:p>
            <w:pPr>
              <w:pStyle w:val="21"/>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生产厂商质保承诺</w:t>
            </w:r>
          </w:p>
        </w:tc>
        <w:tc>
          <w:tcPr>
            <w:tcW w:w="4542" w:type="dxa"/>
            <w:tcBorders>
              <w:top w:val="single" w:color="auto" w:sz="4" w:space="0"/>
              <w:left w:val="single" w:color="auto" w:sz="4" w:space="0"/>
              <w:bottom w:val="single" w:color="auto" w:sz="4" w:space="0"/>
              <w:right w:val="single" w:color="auto" w:sz="4" w:space="0"/>
            </w:tcBorders>
          </w:tcPr>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提供下列所投产品生产厂商出具的质保承诺函：</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1</w:t>
            </w:r>
            <w:r>
              <w:rPr>
                <w:rFonts w:hint="eastAsia" w:asciiTheme="minorEastAsia" w:hAnsiTheme="minorEastAsia" w:eastAsiaTheme="minorEastAsia"/>
                <w:szCs w:val="21"/>
              </w:rPr>
              <w:t>）提供所投序号</w:t>
            </w:r>
            <w:r>
              <w:rPr>
                <w:rFonts w:asciiTheme="minorEastAsia" w:hAnsiTheme="minorEastAsia" w:eastAsiaTheme="minorEastAsia"/>
                <w:szCs w:val="21"/>
              </w:rPr>
              <w:t>1</w:t>
            </w:r>
            <w:r>
              <w:rPr>
                <w:rFonts w:hint="eastAsia" w:asciiTheme="minorEastAsia" w:hAnsiTheme="minorEastAsia" w:eastAsiaTheme="minorEastAsia"/>
                <w:szCs w:val="21"/>
              </w:rPr>
              <w:t>号产品“网络交换机”的设备生产厂商出具的质保</w:t>
            </w:r>
            <w:r>
              <w:rPr>
                <w:rFonts w:asciiTheme="minorEastAsia" w:hAnsiTheme="minorEastAsia" w:eastAsiaTheme="minorEastAsia"/>
                <w:szCs w:val="21"/>
              </w:rPr>
              <w:t>3</w:t>
            </w:r>
            <w:r>
              <w:rPr>
                <w:rFonts w:hint="eastAsia" w:asciiTheme="minorEastAsia" w:hAnsiTheme="minorEastAsia" w:eastAsiaTheme="minorEastAsia"/>
                <w:szCs w:val="21"/>
              </w:rPr>
              <w:t>年承诺函，得</w:t>
            </w:r>
            <w:r>
              <w:rPr>
                <w:rFonts w:asciiTheme="minorEastAsia" w:hAnsiTheme="minorEastAsia" w:eastAsiaTheme="minorEastAsia"/>
                <w:szCs w:val="21"/>
              </w:rPr>
              <w:t>3</w:t>
            </w:r>
            <w:r>
              <w:rPr>
                <w:rFonts w:hint="eastAsia" w:asciiTheme="minorEastAsia" w:hAnsiTheme="minorEastAsia" w:eastAsiaTheme="minorEastAsia"/>
                <w:szCs w:val="21"/>
              </w:rPr>
              <w:t>分，未提供不得分；</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w:t>
            </w:r>
            <w:r>
              <w:rPr>
                <w:rFonts w:asciiTheme="minorEastAsia" w:hAnsiTheme="minorEastAsia" w:eastAsiaTheme="minorEastAsia"/>
                <w:szCs w:val="21"/>
              </w:rPr>
              <w:t>2</w:t>
            </w:r>
            <w:r>
              <w:rPr>
                <w:rFonts w:hint="eastAsia" w:asciiTheme="minorEastAsia" w:hAnsiTheme="minorEastAsia" w:eastAsiaTheme="minorEastAsia"/>
                <w:szCs w:val="21"/>
              </w:rPr>
              <w:t>）提供所投序号</w:t>
            </w:r>
            <w:r>
              <w:rPr>
                <w:rFonts w:asciiTheme="minorEastAsia" w:hAnsiTheme="minorEastAsia" w:eastAsiaTheme="minorEastAsia"/>
                <w:szCs w:val="21"/>
              </w:rPr>
              <w:t>2</w:t>
            </w:r>
            <w:r>
              <w:rPr>
                <w:rFonts w:hint="eastAsia" w:asciiTheme="minorEastAsia" w:hAnsiTheme="minorEastAsia" w:eastAsiaTheme="minorEastAsia"/>
                <w:szCs w:val="21"/>
              </w:rPr>
              <w:t>号产品“多媒体智慧黑板”</w:t>
            </w:r>
          </w:p>
          <w:p>
            <w:pPr>
              <w:pStyle w:val="21"/>
              <w:spacing w:line="360" w:lineRule="auto"/>
              <w:rPr>
                <w:rFonts w:asciiTheme="minorEastAsia" w:hAnsiTheme="minorEastAsia" w:eastAsiaTheme="minorEastAsia"/>
                <w:szCs w:val="21"/>
              </w:rPr>
            </w:pPr>
            <w:r>
              <w:rPr>
                <w:rFonts w:hint="eastAsia" w:asciiTheme="minorEastAsia" w:hAnsiTheme="minorEastAsia" w:eastAsiaTheme="minorEastAsia"/>
                <w:szCs w:val="21"/>
              </w:rPr>
              <w:t>的设备生产厂商出具的质保</w:t>
            </w:r>
            <w:r>
              <w:rPr>
                <w:rFonts w:asciiTheme="minorEastAsia" w:hAnsiTheme="minorEastAsia" w:eastAsiaTheme="minorEastAsia"/>
                <w:szCs w:val="21"/>
              </w:rPr>
              <w:t>3</w:t>
            </w:r>
            <w:r>
              <w:rPr>
                <w:rFonts w:hint="eastAsia" w:asciiTheme="minorEastAsia" w:hAnsiTheme="minorEastAsia" w:eastAsiaTheme="minorEastAsia"/>
                <w:szCs w:val="21"/>
              </w:rPr>
              <w:t>年承诺函，得</w:t>
            </w:r>
            <w:r>
              <w:rPr>
                <w:rFonts w:asciiTheme="minorEastAsia" w:hAnsiTheme="minorEastAsia" w:eastAsiaTheme="minorEastAsia"/>
                <w:szCs w:val="21"/>
              </w:rPr>
              <w:t>3</w:t>
            </w:r>
            <w:r>
              <w:rPr>
                <w:rFonts w:hint="eastAsia" w:asciiTheme="minorEastAsia" w:hAnsiTheme="minorEastAsia" w:eastAsiaTheme="minorEastAsia"/>
                <w:szCs w:val="21"/>
              </w:rPr>
              <w:t>分，3未提供不得分；</w:t>
            </w:r>
          </w:p>
          <w:p>
            <w:pPr>
              <w:pStyle w:val="21"/>
              <w:spacing w:line="360" w:lineRule="auto"/>
              <w:rPr>
                <w:rFonts w:asciiTheme="minorEastAsia" w:hAnsiTheme="minorEastAsia" w:eastAsiaTheme="minorEastAsia"/>
                <w:b/>
                <w:szCs w:val="21"/>
              </w:rPr>
            </w:pPr>
            <w:r>
              <w:rPr>
                <w:rFonts w:hint="eastAsia" w:asciiTheme="minorEastAsia" w:hAnsiTheme="minorEastAsia" w:eastAsiaTheme="minorEastAsia"/>
                <w:b/>
                <w:szCs w:val="21"/>
              </w:rPr>
              <w:t>注：投标文件中提供加盖生产厂商公章的质保承诺函扫描件（格式自拟）。</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Style w:val="14"/>
                <w:rFonts w:hint="default" w:asciiTheme="minorEastAsia" w:hAnsiTheme="minorEastAsia" w:eastAsiaTheme="minorEastAsia"/>
                <w:sz w:val="21"/>
                <w:szCs w:val="21"/>
              </w:rPr>
            </w:pPr>
            <w:r>
              <w:rPr>
                <w:rStyle w:val="14"/>
                <w:rFonts w:hint="default" w:asciiTheme="minorEastAsia" w:hAnsiTheme="minorEastAsia" w:eastAsiaTheme="minorEastAsia"/>
                <w:sz w:val="21"/>
                <w:szCs w:val="21"/>
              </w:rPr>
              <w:t>0-6分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vMerge w:val="continue"/>
            <w:tcBorders>
              <w:left w:val="single" w:color="auto" w:sz="4" w:space="0"/>
              <w:right w:val="single" w:color="auto" w:sz="4" w:space="0"/>
            </w:tcBorders>
            <w:vAlign w:val="center"/>
          </w:tcPr>
          <w:p>
            <w:pPr>
              <w:spacing w:line="360" w:lineRule="auto"/>
              <w:rPr>
                <w:rFonts w:asciiTheme="minorEastAsia" w:hAnsiTheme="minorEastAsia"/>
                <w:szCs w:val="21"/>
              </w:rPr>
            </w:pPr>
          </w:p>
        </w:tc>
        <w:tc>
          <w:tcPr>
            <w:tcW w:w="1291" w:type="dxa"/>
            <w:tcBorders>
              <w:top w:val="single" w:color="auto" w:sz="4" w:space="0"/>
              <w:left w:val="single" w:color="auto" w:sz="4" w:space="0"/>
              <w:bottom w:val="single" w:color="auto" w:sz="4" w:space="0"/>
              <w:right w:val="single" w:color="auto" w:sz="4" w:space="0"/>
            </w:tcBorders>
            <w:vAlign w:val="center"/>
          </w:tcPr>
          <w:p>
            <w:pPr>
              <w:pStyle w:val="21"/>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业绩</w:t>
            </w:r>
          </w:p>
        </w:tc>
        <w:tc>
          <w:tcPr>
            <w:tcW w:w="4542" w:type="dxa"/>
            <w:tcBorders>
              <w:top w:val="single" w:color="auto" w:sz="4" w:space="0"/>
              <w:left w:val="single" w:color="auto" w:sz="4" w:space="0"/>
              <w:bottom w:val="single" w:color="auto" w:sz="4" w:space="0"/>
              <w:right w:val="single" w:color="auto" w:sz="4" w:space="0"/>
            </w:tcBorders>
          </w:tcPr>
          <w:p>
            <w:pPr>
              <w:spacing w:line="360" w:lineRule="auto"/>
              <w:rPr>
                <w:rFonts w:cs="Times New Roman" w:asciiTheme="minorEastAsia" w:hAnsiTheme="minorEastAsia"/>
                <w:szCs w:val="21"/>
              </w:rPr>
            </w:pPr>
            <w:r>
              <w:rPr>
                <w:rFonts w:cs="Times New Roman" w:asciiTheme="minorEastAsia" w:hAnsiTheme="minorEastAsia"/>
                <w:szCs w:val="21"/>
              </w:rPr>
              <w:t>自 20</w:t>
            </w:r>
            <w:r>
              <w:rPr>
                <w:rFonts w:hint="eastAsia" w:cs="Times New Roman" w:asciiTheme="minorEastAsia" w:hAnsiTheme="minorEastAsia"/>
                <w:szCs w:val="21"/>
              </w:rPr>
              <w:t>2</w:t>
            </w:r>
            <w:r>
              <w:rPr>
                <w:rFonts w:cs="Times New Roman" w:asciiTheme="minorEastAsia" w:hAnsiTheme="minorEastAsia"/>
                <w:szCs w:val="21"/>
              </w:rPr>
              <w:t>0年1月1日以来（以合同</w:t>
            </w:r>
            <w:r>
              <w:rPr>
                <w:rFonts w:hint="eastAsia" w:cs="Times New Roman" w:asciiTheme="minorEastAsia" w:hAnsiTheme="minorEastAsia"/>
                <w:szCs w:val="21"/>
              </w:rPr>
              <w:t>或协</w:t>
            </w:r>
            <w:r>
              <w:rPr>
                <w:rFonts w:cs="Times New Roman" w:asciiTheme="minorEastAsia" w:hAnsiTheme="minorEastAsia"/>
                <w:szCs w:val="21"/>
              </w:rPr>
              <w:t>议签订日期为准），投标人具有</w:t>
            </w:r>
            <w:r>
              <w:rPr>
                <w:rFonts w:hint="eastAsia" w:cs="Times New Roman" w:asciiTheme="minorEastAsia" w:hAnsiTheme="minorEastAsia"/>
                <w:szCs w:val="21"/>
              </w:rPr>
              <w:t>类似项目</w:t>
            </w:r>
            <w:r>
              <w:rPr>
                <w:rFonts w:cs="Times New Roman" w:asciiTheme="minorEastAsia" w:hAnsiTheme="minorEastAsia"/>
                <w:szCs w:val="21"/>
              </w:rPr>
              <w:t xml:space="preserve">业绩，提供业绩得 </w:t>
            </w:r>
            <w:r>
              <w:rPr>
                <w:rFonts w:hint="eastAsia" w:cs="Times New Roman" w:asciiTheme="minorEastAsia" w:hAnsiTheme="minorEastAsia"/>
                <w:szCs w:val="21"/>
                <w:lang w:val="en-US" w:eastAsia="zh-CN"/>
              </w:rPr>
              <w:t>3</w:t>
            </w:r>
            <w:r>
              <w:rPr>
                <w:rFonts w:cs="Times New Roman" w:asciiTheme="minorEastAsia" w:hAnsiTheme="minorEastAsia"/>
                <w:szCs w:val="21"/>
              </w:rPr>
              <w:t>分，满分</w:t>
            </w:r>
            <w:r>
              <w:rPr>
                <w:rFonts w:hint="eastAsia" w:cs="Times New Roman" w:asciiTheme="minorEastAsia" w:hAnsiTheme="minorEastAsia"/>
                <w:szCs w:val="21"/>
                <w:lang w:val="en-US" w:eastAsia="zh-CN"/>
              </w:rPr>
              <w:t>3</w:t>
            </w:r>
            <w:r>
              <w:rPr>
                <w:rFonts w:cs="Times New Roman" w:asciiTheme="minorEastAsia" w:hAnsiTheme="minorEastAsia"/>
                <w:szCs w:val="21"/>
              </w:rPr>
              <w:t>分，未提供不得分。</w:t>
            </w:r>
          </w:p>
          <w:p>
            <w:pPr>
              <w:spacing w:line="360" w:lineRule="auto"/>
              <w:rPr>
                <w:rFonts w:cs="Times New Roman" w:asciiTheme="minorEastAsia" w:hAnsiTheme="minorEastAsia"/>
                <w:b/>
                <w:szCs w:val="21"/>
              </w:rPr>
            </w:pPr>
            <w:r>
              <w:rPr>
                <w:rFonts w:cs="Times New Roman" w:asciiTheme="minorEastAsia" w:hAnsiTheme="minorEastAsia"/>
                <w:b/>
                <w:szCs w:val="21"/>
              </w:rPr>
              <w:t>注：（1）投标文件中提供业绩合同（或协议）扫描件， 合同（或协议）须能体现出合同（或协议）签订时间、项目内容等关键评审信息，如未能体现的，须同时另附业主单位出具的加盖公章的证明材料扫描件。</w:t>
            </w:r>
          </w:p>
          <w:p>
            <w:pPr>
              <w:spacing w:line="360" w:lineRule="auto"/>
              <w:rPr>
                <w:rFonts w:asciiTheme="minorEastAsia" w:hAnsiTheme="minorEastAsia"/>
                <w:szCs w:val="21"/>
              </w:rPr>
            </w:pPr>
            <w:r>
              <w:rPr>
                <w:rFonts w:cs="Times New Roman" w:asciiTheme="minorEastAsia" w:hAnsiTheme="minorEastAsia"/>
                <w:b/>
                <w:szCs w:val="21"/>
              </w:rPr>
              <w:t>（2）上述业绩指已完成业绩，投标文件中无须提供已完成证明材料，只需在《投标业绩承诺函》中备注是否已完成即可。</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Style w:val="14"/>
                <w:rFonts w:hint="default" w:asciiTheme="minorEastAsia" w:hAnsiTheme="minorEastAsia" w:eastAsiaTheme="minorEastAsia"/>
                <w:sz w:val="21"/>
                <w:szCs w:val="21"/>
              </w:rPr>
            </w:pPr>
            <w:r>
              <w:rPr>
                <w:rStyle w:val="14"/>
                <w:rFonts w:hint="default" w:asciiTheme="minorEastAsia" w:hAnsiTheme="minorEastAsia" w:eastAsiaTheme="minorEastAsia"/>
                <w:sz w:val="21"/>
                <w:szCs w:val="21"/>
              </w:rPr>
              <w:t>0-3分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0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asciiTheme="minorEastAsia" w:hAnsiTheme="minorEastAsia"/>
                <w:szCs w:val="21"/>
              </w:rPr>
              <w:t>价格分（30 分）</w:t>
            </w:r>
          </w:p>
        </w:tc>
        <w:tc>
          <w:tcPr>
            <w:tcW w:w="5833"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rPr>
                <w:rFonts w:asciiTheme="minorEastAsia" w:hAnsiTheme="minorEastAsia"/>
                <w:szCs w:val="21"/>
              </w:rPr>
            </w:pPr>
            <w:r>
              <w:rPr>
                <w:rFonts w:hint="eastAsia" w:cs="Times New Roman" w:asciiTheme="minorEastAsia" w:hAnsiTheme="minorEastAsia"/>
                <w:szCs w:val="21"/>
              </w:rPr>
              <w:t>价格分统一采用低价优先法，即满足招标文件要求且投标价格最低的投标报价为评标基准价，其价格分为满分</w:t>
            </w:r>
            <w:r>
              <w:rPr>
                <w:rFonts w:hint="eastAsia" w:cs="Times New Roman" w:asciiTheme="minorEastAsia" w:hAnsiTheme="minorEastAsia"/>
                <w:szCs w:val="21"/>
                <w:u w:val="single"/>
              </w:rPr>
              <w:t>30</w:t>
            </w:r>
            <w:r>
              <w:rPr>
                <w:rFonts w:hint="eastAsia" w:cs="Times New Roman" w:asciiTheme="minorEastAsia" w:hAnsiTheme="minorEastAsia"/>
                <w:szCs w:val="21"/>
              </w:rPr>
              <w:t>分。其他投标人的价格分统一按照下列公式计算：投标报价得分＝（评标基准价/投标报价）×</w:t>
            </w:r>
            <w:r>
              <w:rPr>
                <w:rFonts w:hint="eastAsia" w:cs="Times New Roman" w:asciiTheme="minorEastAsia" w:hAnsiTheme="minorEastAsia"/>
                <w:szCs w:val="21"/>
                <w:u w:val="single"/>
              </w:rPr>
              <w:t>30</w:t>
            </w:r>
            <w:r>
              <w:rPr>
                <w:rFonts w:hint="eastAsia" w:cs="Times New Roman" w:asciiTheme="minorEastAsia" w:hAnsiTheme="minorEastAsia"/>
                <w:szCs w:val="21"/>
              </w:rPr>
              <w:t>％×100</w:t>
            </w:r>
          </w:p>
        </w:tc>
        <w:tc>
          <w:tcPr>
            <w:tcW w:w="118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Theme="minorEastAsia" w:hAnsiTheme="minorEastAsia"/>
                <w:szCs w:val="21"/>
              </w:rPr>
            </w:pPr>
            <w:r>
              <w:rPr>
                <w:rFonts w:hint="eastAsia" w:asciiTheme="minorEastAsia" w:hAnsiTheme="minorEastAsia"/>
                <w:szCs w:val="21"/>
              </w:rPr>
              <w:t>0-30分</w:t>
            </w:r>
          </w:p>
        </w:tc>
      </w:tr>
    </w:tbl>
    <w:p>
      <w:pPr>
        <w:pStyle w:val="2"/>
        <w:spacing w:before="0" w:beforeAutospacing="0" w:after="0" w:afterAutospacing="0" w:line="360" w:lineRule="auto"/>
        <w:jc w:val="both"/>
        <w:rPr>
          <w:rFonts w:eastAsia="宋体"/>
          <w:sz w:val="24"/>
        </w:rPr>
      </w:pPr>
    </w:p>
    <w:p>
      <w:pPr>
        <w:widowControl/>
        <w:spacing w:line="360" w:lineRule="auto"/>
        <w:jc w:val="center"/>
        <w:rPr>
          <w:rFonts w:ascii="宋体" w:hAnsi="宋体" w:eastAsia="宋体" w:cs="宋体"/>
          <w:b/>
          <w:bCs/>
          <w:color w:val="000000"/>
          <w:kern w:val="0"/>
          <w:sz w:val="28"/>
          <w:szCs w:val="28"/>
        </w:rPr>
      </w:pPr>
    </w:p>
    <w:p>
      <w:pPr>
        <w:widowControl/>
        <w:jc w:val="left"/>
        <w:rPr>
          <w:rFonts w:ascii="宋体" w:hAnsi="宋体" w:eastAsia="宋体" w:cs="宋体"/>
          <w:b/>
          <w:bCs/>
          <w:color w:val="000000"/>
          <w:kern w:val="0"/>
          <w:sz w:val="28"/>
          <w:szCs w:val="28"/>
        </w:rPr>
      </w:pPr>
    </w:p>
    <w:p>
      <w:pPr>
        <w:widowControl/>
        <w:jc w:val="center"/>
        <w:rPr>
          <w:rFonts w:ascii="宋体" w:hAnsi="宋体" w:eastAsia="宋体" w:cs="Arial"/>
          <w:b/>
          <w:bCs/>
          <w:color w:val="000000"/>
          <w:kern w:val="0"/>
          <w:sz w:val="28"/>
          <w:szCs w:val="28"/>
        </w:rPr>
      </w:pPr>
      <w:r>
        <w:rPr>
          <w:rFonts w:ascii="宋体" w:hAnsi="宋体" w:eastAsia="宋体" w:cs="宋体"/>
          <w:b/>
          <w:bCs/>
          <w:color w:val="000000"/>
          <w:kern w:val="0"/>
          <w:sz w:val="28"/>
          <w:szCs w:val="28"/>
        </w:rPr>
        <w:br w:type="page"/>
      </w:r>
      <w:r>
        <w:rPr>
          <w:rFonts w:hint="eastAsia" w:ascii="宋体" w:hAnsi="宋体" w:eastAsia="宋体" w:cs="Arial"/>
          <w:b/>
          <w:bCs/>
          <w:color w:val="000000"/>
          <w:kern w:val="0"/>
          <w:sz w:val="28"/>
          <w:szCs w:val="28"/>
        </w:rPr>
        <w:t>第五</w:t>
      </w:r>
      <w:r>
        <w:rPr>
          <w:rFonts w:ascii="宋体" w:hAnsi="宋体" w:eastAsia="宋体" w:cs="Arial"/>
          <w:b/>
          <w:bCs/>
          <w:color w:val="000000"/>
          <w:kern w:val="0"/>
          <w:sz w:val="28"/>
          <w:szCs w:val="28"/>
        </w:rPr>
        <w:t>章</w:t>
      </w:r>
      <w:r>
        <w:rPr>
          <w:rFonts w:hint="eastAsia" w:ascii="宋体" w:hAnsi="宋体" w:eastAsia="宋体" w:cs="宋体"/>
          <w:b/>
          <w:bCs/>
          <w:color w:val="000000"/>
          <w:kern w:val="0"/>
          <w:sz w:val="28"/>
          <w:szCs w:val="28"/>
        </w:rPr>
        <w:t xml:space="preserve">  评标纪律</w:t>
      </w:r>
    </w:p>
    <w:p>
      <w:pPr>
        <w:spacing w:line="360" w:lineRule="auto"/>
        <w:rPr>
          <w:rFonts w:ascii="宋体" w:hAnsi="宋体" w:eastAsia="宋体"/>
          <w:b/>
          <w:bCs/>
          <w:sz w:val="24"/>
        </w:rPr>
      </w:pPr>
      <w:r>
        <w:rPr>
          <w:rFonts w:hint="eastAsia" w:ascii="宋体" w:hAnsi="宋体" w:eastAsia="宋体"/>
          <w:b/>
          <w:sz w:val="24"/>
        </w:rPr>
        <w:t>第一条</w:t>
      </w:r>
      <w:r>
        <w:rPr>
          <w:rFonts w:hint="eastAsia" w:ascii="宋体" w:hAnsi="宋体" w:eastAsia="宋体"/>
          <w:sz w:val="24"/>
        </w:rPr>
        <w:t xml:space="preserve"> 评委会和评标工作人员应严格遵守国家的法律、法规和规章制度；严格按照本次招标文件进行评标；公正廉洁、不徇私情，不得损害国家利益；保护招、投标人的合法权益。</w:t>
      </w:r>
    </w:p>
    <w:p>
      <w:pPr>
        <w:spacing w:line="360" w:lineRule="auto"/>
        <w:rPr>
          <w:rFonts w:ascii="宋体" w:hAnsi="宋体" w:eastAsia="宋体"/>
          <w:b/>
          <w:bCs/>
          <w:sz w:val="24"/>
        </w:rPr>
      </w:pPr>
      <w:r>
        <w:rPr>
          <w:rFonts w:hint="eastAsia" w:ascii="宋体" w:hAnsi="宋体" w:eastAsia="宋体"/>
          <w:b/>
          <w:sz w:val="24"/>
        </w:rPr>
        <w:t>第二条</w:t>
      </w:r>
      <w:r>
        <w:rPr>
          <w:rFonts w:hint="eastAsia" w:ascii="宋体" w:hAnsi="宋体" w:eastAsia="宋体"/>
          <w:sz w:val="24"/>
        </w:rPr>
        <w:t xml:space="preserve"> 在评标过程中，评委、秘书组及其他评标工作人员必须对评标情况严格保密，任何人不得将评标情况透露给与投标人有关的单位和个人。如有违反评标纪律的情况发生，将依据《中华人民共和国政府采购法》及其他有关法律法规的规定，追究有关当事人的责任。</w:t>
      </w:r>
    </w:p>
    <w:p>
      <w:pPr>
        <w:spacing w:line="360" w:lineRule="auto"/>
        <w:rPr>
          <w:rFonts w:ascii="宋体" w:hAnsi="宋体" w:eastAsia="宋体"/>
          <w:b/>
          <w:bCs/>
          <w:sz w:val="24"/>
        </w:rPr>
      </w:pPr>
      <w:r>
        <w:rPr>
          <w:rFonts w:hint="eastAsia" w:ascii="宋体" w:hAnsi="宋体" w:eastAsia="宋体"/>
          <w:b/>
          <w:sz w:val="24"/>
        </w:rPr>
        <w:t xml:space="preserve">第三条 </w:t>
      </w:r>
      <w:r>
        <w:rPr>
          <w:rFonts w:hint="eastAsia" w:ascii="宋体" w:hAnsi="宋体" w:eastAsia="宋体"/>
          <w:sz w:val="24"/>
        </w:rPr>
        <w:t>本评标办法的解释权属于合肥体育运动学校。</w:t>
      </w:r>
      <w:bookmarkStart w:id="0" w:name="EB9eb6efa8e0d442d8b8ea38afda34ad49"/>
      <w:bookmarkEnd w:id="0"/>
    </w:p>
    <w:p>
      <w:pPr>
        <w:widowControl/>
        <w:jc w:val="left"/>
        <w:rPr>
          <w:rFonts w:ascii="宋体" w:hAnsi="宋体" w:eastAsia="宋体"/>
          <w:b/>
          <w:sz w:val="32"/>
          <w:szCs w:val="32"/>
        </w:rPr>
      </w:pPr>
      <w:r>
        <w:rPr>
          <w:rFonts w:ascii="宋体" w:hAnsi="宋体" w:eastAsia="宋体"/>
          <w:b/>
          <w:sz w:val="32"/>
          <w:szCs w:val="32"/>
        </w:rPr>
        <w:br w:type="page"/>
      </w:r>
    </w:p>
    <w:p>
      <w:pPr>
        <w:jc w:val="center"/>
        <w:rPr>
          <w:rFonts w:ascii="宋体" w:hAnsi="宋体" w:eastAsia="宋体"/>
          <w:b/>
          <w:bCs/>
          <w:sz w:val="32"/>
          <w:szCs w:val="32"/>
        </w:rPr>
      </w:pPr>
      <w:r>
        <w:rPr>
          <w:rFonts w:hint="eastAsia" w:ascii="宋体" w:hAnsi="宋体" w:eastAsia="宋体" w:cs="Arial"/>
          <w:b/>
          <w:bCs/>
          <w:color w:val="000000"/>
          <w:kern w:val="0"/>
          <w:sz w:val="28"/>
          <w:szCs w:val="28"/>
        </w:rPr>
        <w:t>第六</w:t>
      </w:r>
      <w:r>
        <w:rPr>
          <w:rFonts w:ascii="宋体" w:hAnsi="宋体" w:eastAsia="宋体" w:cs="Arial"/>
          <w:b/>
          <w:bCs/>
          <w:color w:val="000000"/>
          <w:kern w:val="0"/>
          <w:sz w:val="28"/>
          <w:szCs w:val="28"/>
        </w:rPr>
        <w:t>章</w:t>
      </w:r>
      <w:r>
        <w:rPr>
          <w:rFonts w:hint="eastAsia" w:ascii="宋体" w:hAnsi="宋体" w:eastAsia="宋体" w:cs="Arial"/>
          <w:b/>
          <w:bCs/>
          <w:color w:val="000000"/>
          <w:kern w:val="0"/>
          <w:sz w:val="28"/>
          <w:szCs w:val="28"/>
        </w:rPr>
        <w:t xml:space="preserve">  </w:t>
      </w:r>
      <w:r>
        <w:rPr>
          <w:rFonts w:hint="eastAsia" w:ascii="宋体" w:hAnsi="宋体" w:eastAsia="宋体"/>
          <w:b/>
          <w:sz w:val="32"/>
          <w:szCs w:val="32"/>
        </w:rPr>
        <w:t>响应文件格式</w:t>
      </w:r>
    </w:p>
    <w:p>
      <w:pPr>
        <w:spacing w:line="360" w:lineRule="auto"/>
        <w:rPr>
          <w:rFonts w:ascii="宋体" w:hAnsi="宋体" w:eastAsia="宋体"/>
        </w:rPr>
      </w:pPr>
    </w:p>
    <w:p>
      <w:pPr>
        <w:jc w:val="center"/>
        <w:rPr>
          <w:rFonts w:ascii="宋体" w:hAnsi="宋体" w:eastAsia="宋体"/>
          <w:b/>
          <w:sz w:val="32"/>
          <w:szCs w:val="32"/>
        </w:rPr>
      </w:pPr>
    </w:p>
    <w:p>
      <w:pPr>
        <w:jc w:val="center"/>
        <w:rPr>
          <w:rFonts w:ascii="宋体" w:hAnsi="宋体" w:eastAsia="宋体"/>
          <w:b/>
          <w:bCs/>
          <w:sz w:val="36"/>
          <w:szCs w:val="36"/>
        </w:rPr>
      </w:pPr>
      <w:r>
        <w:rPr>
          <w:rStyle w:val="14"/>
          <w:rFonts w:hint="default"/>
          <w:b/>
          <w:sz w:val="36"/>
          <w:szCs w:val="36"/>
        </w:rPr>
        <w:t>合肥体育运动学校教学设备采购</w:t>
      </w:r>
    </w:p>
    <w:p>
      <w:pPr>
        <w:rPr>
          <w:rFonts w:ascii="宋体" w:hAnsi="宋体" w:eastAsia="宋体"/>
        </w:rPr>
      </w:pPr>
    </w:p>
    <w:p>
      <w:pPr>
        <w:jc w:val="center"/>
        <w:rPr>
          <w:rFonts w:ascii="宋体" w:hAnsi="宋体" w:eastAsia="宋体"/>
          <w:b/>
          <w:sz w:val="48"/>
          <w:szCs w:val="48"/>
        </w:rPr>
      </w:pPr>
    </w:p>
    <w:p>
      <w:pPr>
        <w:jc w:val="center"/>
        <w:rPr>
          <w:rFonts w:ascii="宋体" w:hAnsi="宋体" w:eastAsia="宋体"/>
          <w:b/>
          <w:sz w:val="48"/>
          <w:szCs w:val="48"/>
        </w:rPr>
      </w:pPr>
      <w:r>
        <w:rPr>
          <w:rFonts w:hint="eastAsia" w:ascii="宋体" w:hAnsi="宋体" w:eastAsia="宋体"/>
          <w:b/>
          <w:sz w:val="48"/>
          <w:szCs w:val="48"/>
        </w:rPr>
        <w:t>响</w:t>
      </w:r>
    </w:p>
    <w:p>
      <w:pPr>
        <w:jc w:val="center"/>
        <w:rPr>
          <w:rFonts w:ascii="宋体" w:hAnsi="宋体" w:eastAsia="宋体"/>
          <w:b/>
          <w:sz w:val="48"/>
          <w:szCs w:val="48"/>
        </w:rPr>
      </w:pPr>
    </w:p>
    <w:p>
      <w:pPr>
        <w:jc w:val="center"/>
        <w:rPr>
          <w:rFonts w:ascii="宋体" w:hAnsi="宋体" w:eastAsia="宋体"/>
          <w:b/>
          <w:sz w:val="48"/>
          <w:szCs w:val="48"/>
        </w:rPr>
      </w:pPr>
      <w:r>
        <w:rPr>
          <w:rFonts w:hint="eastAsia" w:ascii="宋体" w:hAnsi="宋体" w:eastAsia="宋体"/>
          <w:b/>
          <w:sz w:val="48"/>
          <w:szCs w:val="48"/>
        </w:rPr>
        <w:t>应</w:t>
      </w:r>
    </w:p>
    <w:p>
      <w:pPr>
        <w:jc w:val="center"/>
        <w:rPr>
          <w:rFonts w:ascii="宋体" w:hAnsi="宋体" w:eastAsia="宋体"/>
          <w:b/>
          <w:sz w:val="48"/>
          <w:szCs w:val="48"/>
        </w:rPr>
      </w:pPr>
    </w:p>
    <w:p>
      <w:pPr>
        <w:jc w:val="center"/>
        <w:rPr>
          <w:rFonts w:ascii="宋体" w:hAnsi="宋体" w:eastAsia="宋体"/>
          <w:b/>
          <w:sz w:val="48"/>
          <w:szCs w:val="48"/>
        </w:rPr>
      </w:pPr>
      <w:r>
        <w:rPr>
          <w:rFonts w:hint="eastAsia" w:ascii="宋体" w:hAnsi="宋体" w:eastAsia="宋体"/>
          <w:b/>
          <w:sz w:val="48"/>
          <w:szCs w:val="48"/>
        </w:rPr>
        <w:t>文</w:t>
      </w:r>
    </w:p>
    <w:p>
      <w:pPr>
        <w:jc w:val="center"/>
        <w:rPr>
          <w:rFonts w:ascii="宋体" w:hAnsi="宋体" w:eastAsia="宋体"/>
          <w:b/>
          <w:sz w:val="48"/>
          <w:szCs w:val="48"/>
        </w:rPr>
      </w:pPr>
    </w:p>
    <w:p>
      <w:pPr>
        <w:jc w:val="center"/>
        <w:rPr>
          <w:rFonts w:ascii="宋体" w:hAnsi="宋体" w:eastAsia="宋体"/>
          <w:b/>
          <w:bCs/>
          <w:sz w:val="48"/>
          <w:szCs w:val="48"/>
        </w:rPr>
      </w:pPr>
      <w:r>
        <w:rPr>
          <w:rFonts w:hint="eastAsia" w:ascii="宋体" w:hAnsi="宋体" w:eastAsia="宋体"/>
          <w:b/>
          <w:sz w:val="48"/>
          <w:szCs w:val="48"/>
        </w:rPr>
        <w:t>件</w:t>
      </w:r>
    </w:p>
    <w:p>
      <w:pPr>
        <w:rPr>
          <w:rFonts w:ascii="宋体" w:hAnsi="宋体" w:eastAsia="宋体"/>
          <w:sz w:val="30"/>
          <w:szCs w:val="30"/>
        </w:rPr>
      </w:pPr>
    </w:p>
    <w:p>
      <w:pPr>
        <w:rPr>
          <w:rFonts w:ascii="宋体" w:hAnsi="宋体" w:eastAsia="宋体"/>
          <w:sz w:val="30"/>
          <w:szCs w:val="30"/>
        </w:rPr>
      </w:pPr>
    </w:p>
    <w:p>
      <w:pPr>
        <w:rPr>
          <w:rFonts w:ascii="宋体" w:hAnsi="宋体" w:eastAsia="宋体"/>
          <w:sz w:val="30"/>
          <w:szCs w:val="30"/>
          <w:u w:val="single"/>
        </w:rPr>
      </w:pPr>
      <w:r>
        <w:rPr>
          <w:rFonts w:hint="eastAsia" w:ascii="宋体" w:hAnsi="宋体" w:eastAsia="宋体"/>
          <w:sz w:val="30"/>
          <w:szCs w:val="30"/>
        </w:rPr>
        <w:t>项目名称：</w:t>
      </w:r>
      <w:r>
        <w:rPr>
          <w:rFonts w:hint="eastAsia" w:ascii="宋体" w:hAnsi="宋体" w:eastAsia="宋体"/>
          <w:sz w:val="30"/>
          <w:szCs w:val="30"/>
          <w:u w:val="single"/>
        </w:rPr>
        <w:t xml:space="preserve">                                    </w:t>
      </w:r>
    </w:p>
    <w:p>
      <w:pPr>
        <w:rPr>
          <w:rFonts w:ascii="宋体" w:hAnsi="宋体" w:eastAsia="宋体"/>
          <w:sz w:val="30"/>
          <w:szCs w:val="30"/>
          <w:u w:val="single"/>
        </w:rPr>
      </w:pPr>
      <w:r>
        <w:rPr>
          <w:rFonts w:hint="eastAsia" w:ascii="宋体" w:hAnsi="宋体" w:eastAsia="宋体"/>
          <w:sz w:val="30"/>
          <w:szCs w:val="30"/>
        </w:rPr>
        <w:t>投 标 人：</w:t>
      </w:r>
      <w:r>
        <w:rPr>
          <w:rFonts w:hint="eastAsia" w:ascii="宋体" w:hAnsi="宋体" w:eastAsia="宋体"/>
          <w:sz w:val="30"/>
          <w:szCs w:val="30"/>
          <w:u w:val="single"/>
        </w:rPr>
        <w:t xml:space="preserve">                            （盖章）</w:t>
      </w:r>
    </w:p>
    <w:p>
      <w:pPr>
        <w:rPr>
          <w:rFonts w:ascii="宋体" w:hAnsi="宋体" w:eastAsia="宋体"/>
          <w:sz w:val="30"/>
          <w:szCs w:val="30"/>
        </w:rPr>
      </w:pPr>
      <w:r>
        <w:rPr>
          <w:rFonts w:hint="eastAsia" w:ascii="宋体" w:hAnsi="宋体" w:eastAsia="宋体"/>
          <w:sz w:val="30"/>
          <w:szCs w:val="30"/>
        </w:rPr>
        <w:t>日  期：</w:t>
      </w:r>
      <w:r>
        <w:rPr>
          <w:rFonts w:hint="eastAsia" w:ascii="宋体" w:hAnsi="宋体" w:eastAsia="宋体"/>
          <w:sz w:val="30"/>
          <w:szCs w:val="30"/>
          <w:u w:val="single"/>
        </w:rPr>
        <w:t xml:space="preserve">      </w:t>
      </w:r>
      <w:r>
        <w:rPr>
          <w:rFonts w:hint="eastAsia" w:ascii="宋体" w:hAnsi="宋体" w:eastAsia="宋体"/>
          <w:sz w:val="30"/>
          <w:szCs w:val="30"/>
        </w:rPr>
        <w:t>年</w:t>
      </w:r>
      <w:r>
        <w:rPr>
          <w:rFonts w:hint="eastAsia" w:ascii="宋体" w:hAnsi="宋体" w:eastAsia="宋体"/>
          <w:sz w:val="30"/>
          <w:szCs w:val="30"/>
          <w:u w:val="single"/>
        </w:rPr>
        <w:t xml:space="preserve">    </w:t>
      </w:r>
      <w:r>
        <w:rPr>
          <w:rFonts w:hint="eastAsia" w:ascii="宋体" w:hAnsi="宋体" w:eastAsia="宋体"/>
          <w:sz w:val="30"/>
          <w:szCs w:val="30"/>
        </w:rPr>
        <w:t>月</w:t>
      </w:r>
      <w:r>
        <w:rPr>
          <w:rFonts w:hint="eastAsia" w:ascii="宋体" w:hAnsi="宋体" w:eastAsia="宋体"/>
          <w:sz w:val="30"/>
          <w:szCs w:val="30"/>
          <w:u w:val="single"/>
        </w:rPr>
        <w:t xml:space="preserve">    </w:t>
      </w:r>
      <w:r>
        <w:rPr>
          <w:rFonts w:hint="eastAsia" w:ascii="宋体" w:hAnsi="宋体" w:eastAsia="宋体"/>
          <w:sz w:val="30"/>
          <w:szCs w:val="30"/>
        </w:rPr>
        <w:t>日</w:t>
      </w:r>
    </w:p>
    <w:p>
      <w:pPr>
        <w:rPr>
          <w:rFonts w:ascii="宋体" w:hAnsi="宋体" w:eastAsia="宋体"/>
        </w:rPr>
      </w:pPr>
    </w:p>
    <w:p>
      <w:pPr>
        <w:widowControl/>
        <w:jc w:val="left"/>
        <w:rPr>
          <w:rFonts w:ascii="宋体" w:hAnsi="宋体" w:eastAsia="宋体" w:cs="宋体"/>
          <w:b/>
          <w:bCs/>
          <w:kern w:val="0"/>
          <w:sz w:val="27"/>
          <w:szCs w:val="27"/>
        </w:rPr>
      </w:pPr>
      <w:r>
        <w:rPr>
          <w:rFonts w:ascii="宋体" w:hAnsi="宋体" w:eastAsia="宋体"/>
        </w:rPr>
        <w:br w:type="page"/>
      </w:r>
    </w:p>
    <w:p>
      <w:pPr>
        <w:pStyle w:val="19"/>
        <w:numPr>
          <w:ilvl w:val="0"/>
          <w:numId w:val="1"/>
        </w:numPr>
        <w:ind w:firstLineChars="0"/>
        <w:jc w:val="center"/>
        <w:rPr>
          <w:rFonts w:ascii="宋体" w:hAnsi="宋体" w:eastAsia="宋体"/>
          <w:b/>
          <w:sz w:val="28"/>
          <w:szCs w:val="28"/>
        </w:rPr>
      </w:pPr>
      <w:r>
        <w:rPr>
          <w:rFonts w:hint="eastAsia" w:ascii="宋体" w:hAnsi="宋体" w:eastAsia="宋体"/>
          <w:b/>
          <w:sz w:val="28"/>
          <w:szCs w:val="28"/>
        </w:rPr>
        <w:t>报价表</w:t>
      </w:r>
    </w:p>
    <w:p>
      <w:pPr>
        <w:rPr>
          <w:rFonts w:ascii="宋体" w:hAnsi="宋体" w:eastAsia="宋体"/>
          <w:b/>
          <w:sz w:val="28"/>
          <w:szCs w:val="28"/>
        </w:rPr>
      </w:pPr>
      <w:r>
        <w:rPr>
          <w:rFonts w:hint="eastAsia" w:ascii="宋体" w:hAnsi="宋体" w:eastAsia="宋体"/>
          <w:b/>
          <w:sz w:val="28"/>
          <w:szCs w:val="28"/>
        </w:rPr>
        <w:t>1-1报价表</w:t>
      </w:r>
    </w:p>
    <w:p>
      <w:pPr>
        <w:spacing w:line="360" w:lineRule="auto"/>
        <w:rPr>
          <w:rFonts w:ascii="宋体" w:hAnsi="宋体" w:eastAsia="宋体"/>
          <w:b/>
          <w:sz w:val="24"/>
          <w:u w:val="single"/>
        </w:rPr>
      </w:pPr>
      <w:r>
        <w:rPr>
          <w:rFonts w:hint="eastAsia" w:ascii="宋体" w:hAnsi="宋体" w:eastAsia="宋体"/>
          <w:b/>
          <w:sz w:val="24"/>
        </w:rPr>
        <w:t>项目名称：</w:t>
      </w:r>
      <w:r>
        <w:rPr>
          <w:b/>
        </w:rPr>
        <w:t>合肥体育运动学校教学设备采购</w:t>
      </w: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9"/>
        <w:gridCol w:w="60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3" w:type="pct"/>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eastAsia="宋体"/>
                <w:b/>
                <w:sz w:val="24"/>
              </w:rPr>
            </w:pPr>
            <w:r>
              <w:rPr>
                <w:rFonts w:hint="eastAsia" w:ascii="宋体" w:hAnsi="宋体" w:eastAsia="宋体"/>
                <w:b/>
                <w:sz w:val="24"/>
              </w:rPr>
              <w:t>供应商名称</w:t>
            </w:r>
          </w:p>
        </w:tc>
        <w:tc>
          <w:tcPr>
            <w:tcW w:w="3557" w:type="pct"/>
            <w:tcBorders>
              <w:left w:val="single" w:color="auto" w:sz="4" w:space="0"/>
            </w:tcBorders>
          </w:tcPr>
          <w:p>
            <w:pPr>
              <w:spacing w:line="360" w:lineRule="auto"/>
              <w:rPr>
                <w:rFonts w:ascii="宋体" w:hAnsi="宋体" w:eastAsia="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3" w:type="pct"/>
            <w:tcBorders>
              <w:top w:val="single" w:color="auto" w:sz="4" w:space="0"/>
            </w:tcBorders>
            <w:vAlign w:val="center"/>
          </w:tcPr>
          <w:p>
            <w:pPr>
              <w:spacing w:line="360" w:lineRule="auto"/>
              <w:rPr>
                <w:rFonts w:ascii="宋体" w:hAnsi="宋体" w:eastAsia="宋体"/>
                <w:b/>
                <w:sz w:val="24"/>
              </w:rPr>
            </w:pPr>
            <w:r>
              <w:rPr>
                <w:rFonts w:hint="eastAsia" w:ascii="宋体" w:hAnsi="宋体" w:eastAsia="宋体"/>
                <w:b/>
                <w:sz w:val="24"/>
              </w:rPr>
              <w:t>报价</w:t>
            </w:r>
          </w:p>
          <w:p>
            <w:pPr>
              <w:spacing w:line="360" w:lineRule="auto"/>
              <w:rPr>
                <w:rFonts w:ascii="宋体" w:hAnsi="宋体" w:eastAsia="宋体"/>
                <w:b/>
                <w:sz w:val="24"/>
              </w:rPr>
            </w:pPr>
            <w:r>
              <w:rPr>
                <w:rFonts w:hint="eastAsia" w:ascii="宋体" w:hAnsi="宋体" w:eastAsia="宋体"/>
                <w:b/>
                <w:sz w:val="24"/>
              </w:rPr>
              <w:t>（详见备注说明）</w:t>
            </w:r>
          </w:p>
        </w:tc>
        <w:tc>
          <w:tcPr>
            <w:tcW w:w="3557" w:type="pct"/>
            <w:vAlign w:val="center"/>
          </w:tcPr>
          <w:p>
            <w:pPr>
              <w:snapToGrid w:val="0"/>
              <w:spacing w:line="360" w:lineRule="auto"/>
              <w:rPr>
                <w:rFonts w:ascii="宋体" w:hAnsi="宋体" w:eastAsia="宋体"/>
                <w:sz w:val="24"/>
                <w:szCs w:val="28"/>
              </w:rPr>
            </w:pPr>
          </w:p>
          <w:p>
            <w:pPr>
              <w:snapToGrid w:val="0"/>
              <w:spacing w:line="360" w:lineRule="auto"/>
              <w:rPr>
                <w:rFonts w:ascii="宋体" w:hAnsi="宋体" w:eastAsia="宋体"/>
                <w:bCs/>
                <w:sz w:val="24"/>
                <w:u w:val="single"/>
              </w:rPr>
            </w:pPr>
            <w:r>
              <w:rPr>
                <w:rFonts w:hint="eastAsia" w:ascii="宋体" w:hAnsi="宋体" w:eastAsia="宋体"/>
                <w:bCs/>
                <w:sz w:val="24"/>
              </w:rPr>
              <w:t>人民币大写：</w:t>
            </w:r>
          </w:p>
          <w:p>
            <w:pPr>
              <w:widowControl/>
              <w:spacing w:line="360" w:lineRule="auto"/>
              <w:jc w:val="center"/>
              <w:rPr>
                <w:rFonts w:ascii="宋体" w:hAnsi="宋体" w:eastAsia="宋体"/>
                <w:b/>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7" w:hRule="atLeast"/>
          <w:jc w:val="center"/>
        </w:trPr>
        <w:tc>
          <w:tcPr>
            <w:tcW w:w="1443" w:type="pct"/>
            <w:vAlign w:val="center"/>
          </w:tcPr>
          <w:p>
            <w:pPr>
              <w:spacing w:line="360" w:lineRule="auto"/>
              <w:rPr>
                <w:rFonts w:ascii="宋体" w:hAnsi="宋体" w:eastAsia="宋体"/>
                <w:b/>
                <w:sz w:val="24"/>
              </w:rPr>
            </w:pPr>
            <w:r>
              <w:rPr>
                <w:rFonts w:hint="eastAsia" w:ascii="宋体" w:hAnsi="宋体" w:eastAsia="宋体"/>
                <w:b/>
                <w:sz w:val="24"/>
              </w:rPr>
              <w:t>备注说明</w:t>
            </w:r>
          </w:p>
        </w:tc>
        <w:tc>
          <w:tcPr>
            <w:tcW w:w="3557" w:type="pct"/>
          </w:tcPr>
          <w:p>
            <w:pPr>
              <w:spacing w:line="360" w:lineRule="auto"/>
              <w:rPr>
                <w:rFonts w:ascii="宋体" w:hAnsi="宋体" w:eastAsia="宋体"/>
                <w:b/>
                <w:sz w:val="24"/>
              </w:rPr>
            </w:pPr>
          </w:p>
        </w:tc>
      </w:tr>
    </w:tbl>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r>
        <w:rPr>
          <w:rFonts w:hint="eastAsia" w:ascii="宋体" w:hAnsi="宋体" w:eastAsia="宋体"/>
          <w:sz w:val="24"/>
        </w:rPr>
        <w:t>供应商签章：</w:t>
      </w: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日    期：</w:t>
      </w:r>
    </w:p>
    <w:p>
      <w:pPr>
        <w:tabs>
          <w:tab w:val="left" w:pos="630"/>
        </w:tabs>
        <w:spacing w:line="360" w:lineRule="auto"/>
        <w:rPr>
          <w:rFonts w:ascii="宋体" w:hAnsi="宋体" w:eastAsia="宋体"/>
          <w:b/>
          <w:bCs/>
          <w:sz w:val="24"/>
          <w:szCs w:val="28"/>
        </w:rPr>
      </w:pPr>
      <w:r>
        <w:rPr>
          <w:rFonts w:hint="eastAsia" w:ascii="宋体" w:hAnsi="宋体" w:eastAsia="宋体"/>
          <w:b/>
          <w:bCs/>
          <w:sz w:val="24"/>
          <w:szCs w:val="28"/>
        </w:rPr>
        <w:t>注：</w:t>
      </w:r>
    </w:p>
    <w:p>
      <w:pPr>
        <w:tabs>
          <w:tab w:val="left" w:pos="630"/>
        </w:tabs>
        <w:spacing w:line="360" w:lineRule="auto"/>
        <w:rPr>
          <w:rFonts w:ascii="宋体" w:hAnsi="宋体" w:eastAsia="宋体"/>
          <w:sz w:val="24"/>
        </w:rPr>
      </w:pPr>
      <w:r>
        <w:rPr>
          <w:rFonts w:hint="eastAsia" w:ascii="宋体" w:hAnsi="宋体" w:eastAsia="宋体"/>
          <w:b/>
          <w:bCs/>
          <w:sz w:val="24"/>
          <w:szCs w:val="28"/>
        </w:rPr>
        <w:t>1.本表内容根据招标文件要求包括了设备维护维修服务及其税费以及来回现场车旅、调试、培训、技术服务等所有费用。</w:t>
      </w:r>
    </w:p>
    <w:p>
      <w:pPr>
        <w:tabs>
          <w:tab w:val="left" w:pos="630"/>
        </w:tabs>
        <w:spacing w:line="360" w:lineRule="auto"/>
        <w:rPr>
          <w:rFonts w:ascii="宋体" w:hAnsi="宋体" w:eastAsia="宋体"/>
          <w:b/>
          <w:bCs/>
          <w:sz w:val="24"/>
          <w:szCs w:val="28"/>
        </w:rPr>
      </w:pPr>
      <w:r>
        <w:rPr>
          <w:rFonts w:hint="eastAsia" w:ascii="宋体" w:hAnsi="宋体" w:eastAsia="宋体"/>
          <w:b/>
          <w:bCs/>
          <w:sz w:val="24"/>
          <w:szCs w:val="28"/>
        </w:rPr>
        <w:t>2.特殊事项在备注中注明。</w:t>
      </w: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tabs>
          <w:tab w:val="left" w:pos="630"/>
        </w:tabs>
        <w:spacing w:line="360" w:lineRule="auto"/>
        <w:rPr>
          <w:rFonts w:ascii="宋体" w:hAnsi="宋体" w:eastAsia="宋体"/>
          <w:b/>
          <w:bCs/>
          <w:sz w:val="24"/>
          <w:szCs w:val="28"/>
        </w:rPr>
      </w:pPr>
    </w:p>
    <w:p>
      <w:pPr>
        <w:widowControl/>
        <w:jc w:val="left"/>
        <w:rPr>
          <w:rFonts w:ascii="宋体" w:hAnsi="宋体" w:eastAsia="宋体"/>
          <w:b/>
          <w:sz w:val="28"/>
          <w:szCs w:val="28"/>
        </w:rPr>
      </w:pPr>
      <w:bookmarkStart w:id="1" w:name="_Toc520983591"/>
      <w:r>
        <w:rPr>
          <w:rFonts w:hint="eastAsia" w:ascii="宋体" w:hAnsi="宋体" w:eastAsia="宋体"/>
          <w:b/>
          <w:sz w:val="28"/>
          <w:szCs w:val="28"/>
        </w:rPr>
        <w:t>1-2分项报价明细表</w:t>
      </w:r>
    </w:p>
    <w:p>
      <w:pPr>
        <w:widowControl/>
        <w:jc w:val="left"/>
        <w:rPr>
          <w:rFonts w:ascii="宋体" w:hAnsi="宋体" w:eastAsia="宋体"/>
          <w:i/>
          <w:sz w:val="24"/>
        </w:rPr>
      </w:pPr>
      <w:r>
        <w:rPr>
          <w:rFonts w:hint="eastAsia" w:ascii="宋体" w:hAnsi="宋体" w:eastAsia="宋体"/>
          <w:i/>
          <w:sz w:val="24"/>
        </w:rPr>
        <w:t>（仅供参考，供应商可自行制作格式）</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7"/>
        <w:gridCol w:w="3119"/>
        <w:gridCol w:w="708"/>
        <w:gridCol w:w="1036"/>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jc w:val="center"/>
              <w:rPr>
                <w:rFonts w:ascii="宋体" w:hAnsi="宋体" w:eastAsia="宋体"/>
                <w:b/>
                <w:sz w:val="24"/>
              </w:rPr>
            </w:pPr>
            <w:r>
              <w:rPr>
                <w:rFonts w:hint="eastAsia" w:ascii="宋体" w:hAnsi="宋体" w:eastAsia="宋体"/>
                <w:b/>
                <w:sz w:val="24"/>
              </w:rPr>
              <w:t>序号</w:t>
            </w:r>
          </w:p>
        </w:tc>
        <w:tc>
          <w:tcPr>
            <w:tcW w:w="3119" w:type="dxa"/>
            <w:vAlign w:val="center"/>
          </w:tcPr>
          <w:p>
            <w:pPr>
              <w:widowControl/>
              <w:jc w:val="center"/>
              <w:rPr>
                <w:rFonts w:ascii="宋体" w:hAnsi="宋体" w:eastAsia="宋体"/>
                <w:b/>
                <w:sz w:val="24"/>
              </w:rPr>
            </w:pPr>
            <w:r>
              <w:rPr>
                <w:rFonts w:hint="eastAsia" w:ascii="宋体" w:hAnsi="宋体" w:eastAsia="宋体" w:cs="Arial"/>
                <w:b/>
                <w:sz w:val="24"/>
              </w:rPr>
              <w:t>货物名称</w:t>
            </w:r>
          </w:p>
        </w:tc>
        <w:tc>
          <w:tcPr>
            <w:tcW w:w="708" w:type="dxa"/>
            <w:vAlign w:val="center"/>
          </w:tcPr>
          <w:p>
            <w:pPr>
              <w:widowControl/>
              <w:jc w:val="center"/>
              <w:rPr>
                <w:rFonts w:ascii="宋体" w:hAnsi="宋体" w:eastAsia="宋体"/>
                <w:b/>
                <w:sz w:val="24"/>
              </w:rPr>
            </w:pPr>
            <w:r>
              <w:rPr>
                <w:rFonts w:hint="eastAsia" w:ascii="宋体" w:hAnsi="宋体" w:eastAsia="宋体"/>
                <w:b/>
                <w:sz w:val="24"/>
              </w:rPr>
              <w:t>项</w:t>
            </w:r>
          </w:p>
        </w:tc>
        <w:tc>
          <w:tcPr>
            <w:tcW w:w="1036" w:type="dxa"/>
            <w:vAlign w:val="center"/>
          </w:tcPr>
          <w:p>
            <w:pPr>
              <w:widowControl/>
              <w:jc w:val="center"/>
              <w:rPr>
                <w:rFonts w:ascii="宋体" w:hAnsi="宋体" w:eastAsia="宋体"/>
                <w:b/>
                <w:sz w:val="24"/>
              </w:rPr>
            </w:pPr>
            <w:r>
              <w:rPr>
                <w:rFonts w:hint="eastAsia" w:ascii="宋体" w:hAnsi="宋体" w:eastAsia="宋体"/>
                <w:b/>
                <w:sz w:val="24"/>
              </w:rPr>
              <w:t>数量</w:t>
            </w:r>
          </w:p>
        </w:tc>
        <w:tc>
          <w:tcPr>
            <w:tcW w:w="1421" w:type="dxa"/>
            <w:vAlign w:val="center"/>
          </w:tcPr>
          <w:p>
            <w:pPr>
              <w:widowControl/>
              <w:jc w:val="center"/>
              <w:rPr>
                <w:rFonts w:ascii="宋体" w:hAnsi="宋体" w:eastAsia="宋体"/>
                <w:b/>
                <w:sz w:val="24"/>
              </w:rPr>
            </w:pPr>
            <w:r>
              <w:rPr>
                <w:rFonts w:hint="eastAsia" w:ascii="宋体" w:hAnsi="宋体" w:eastAsia="宋体"/>
                <w:b/>
                <w:sz w:val="24"/>
              </w:rPr>
              <w:t>单价</w:t>
            </w:r>
          </w:p>
        </w:tc>
        <w:tc>
          <w:tcPr>
            <w:tcW w:w="1421" w:type="dxa"/>
            <w:vAlign w:val="center"/>
          </w:tcPr>
          <w:p>
            <w:pPr>
              <w:widowControl/>
              <w:jc w:val="center"/>
              <w:rPr>
                <w:rFonts w:ascii="宋体" w:hAnsi="宋体" w:eastAsia="宋体"/>
                <w:b/>
                <w:sz w:val="24"/>
              </w:rPr>
            </w:pPr>
            <w:r>
              <w:rPr>
                <w:rFonts w:hint="eastAsia" w:ascii="宋体" w:hAnsi="宋体" w:eastAsia="宋体"/>
                <w:b/>
                <w:sz w:val="24"/>
              </w:rPr>
              <w:t>小计金额（元）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widowControl/>
              <w:jc w:val="left"/>
              <w:rPr>
                <w:rFonts w:ascii="宋体" w:hAnsi="宋体" w:eastAsia="宋体"/>
                <w:b/>
                <w:sz w:val="28"/>
                <w:szCs w:val="28"/>
              </w:rPr>
            </w:pPr>
            <w:r>
              <w:rPr>
                <w:rFonts w:hint="eastAsia" w:ascii="宋体" w:hAnsi="宋体" w:eastAsia="宋体"/>
                <w:b/>
                <w:sz w:val="28"/>
                <w:szCs w:val="28"/>
              </w:rPr>
              <w:t>1</w:t>
            </w:r>
          </w:p>
        </w:tc>
        <w:tc>
          <w:tcPr>
            <w:tcW w:w="3119" w:type="dxa"/>
          </w:tcPr>
          <w:p>
            <w:pPr>
              <w:widowControl/>
              <w:jc w:val="left"/>
              <w:rPr>
                <w:rFonts w:ascii="宋体" w:hAnsi="宋体" w:eastAsia="宋体"/>
                <w:b/>
                <w:sz w:val="28"/>
                <w:szCs w:val="28"/>
              </w:rPr>
            </w:pPr>
          </w:p>
        </w:tc>
        <w:tc>
          <w:tcPr>
            <w:tcW w:w="708" w:type="dxa"/>
          </w:tcPr>
          <w:p>
            <w:pPr>
              <w:widowControl/>
              <w:jc w:val="left"/>
              <w:rPr>
                <w:rFonts w:ascii="宋体" w:hAnsi="宋体" w:eastAsia="宋体"/>
                <w:b/>
                <w:sz w:val="28"/>
                <w:szCs w:val="28"/>
              </w:rPr>
            </w:pPr>
          </w:p>
        </w:tc>
        <w:tc>
          <w:tcPr>
            <w:tcW w:w="1036"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widowControl/>
              <w:jc w:val="left"/>
              <w:rPr>
                <w:rFonts w:ascii="宋体" w:hAnsi="宋体" w:eastAsia="宋体"/>
                <w:b/>
                <w:sz w:val="28"/>
                <w:szCs w:val="28"/>
              </w:rPr>
            </w:pPr>
            <w:r>
              <w:rPr>
                <w:rFonts w:hint="eastAsia" w:ascii="宋体" w:hAnsi="宋体" w:eastAsia="宋体"/>
                <w:b/>
                <w:sz w:val="28"/>
                <w:szCs w:val="28"/>
              </w:rPr>
              <w:t>2</w:t>
            </w:r>
          </w:p>
        </w:tc>
        <w:tc>
          <w:tcPr>
            <w:tcW w:w="3119" w:type="dxa"/>
          </w:tcPr>
          <w:p>
            <w:pPr>
              <w:widowControl/>
              <w:jc w:val="left"/>
              <w:rPr>
                <w:rFonts w:ascii="宋体" w:hAnsi="宋体" w:eastAsia="宋体"/>
                <w:b/>
                <w:sz w:val="28"/>
                <w:szCs w:val="28"/>
              </w:rPr>
            </w:pPr>
          </w:p>
        </w:tc>
        <w:tc>
          <w:tcPr>
            <w:tcW w:w="708" w:type="dxa"/>
          </w:tcPr>
          <w:p>
            <w:pPr>
              <w:widowControl/>
              <w:jc w:val="left"/>
              <w:rPr>
                <w:rFonts w:ascii="宋体" w:hAnsi="宋体" w:eastAsia="宋体"/>
                <w:b/>
                <w:sz w:val="28"/>
                <w:szCs w:val="28"/>
              </w:rPr>
            </w:pPr>
          </w:p>
        </w:tc>
        <w:tc>
          <w:tcPr>
            <w:tcW w:w="1036"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widowControl/>
              <w:jc w:val="left"/>
              <w:rPr>
                <w:rFonts w:ascii="宋体" w:hAnsi="宋体" w:eastAsia="宋体"/>
                <w:b/>
                <w:sz w:val="28"/>
                <w:szCs w:val="28"/>
              </w:rPr>
            </w:pPr>
            <w:r>
              <w:rPr>
                <w:rFonts w:hint="eastAsia" w:ascii="宋体" w:hAnsi="宋体" w:eastAsia="宋体"/>
                <w:b/>
                <w:sz w:val="28"/>
                <w:szCs w:val="28"/>
              </w:rPr>
              <w:t>3</w:t>
            </w:r>
          </w:p>
        </w:tc>
        <w:tc>
          <w:tcPr>
            <w:tcW w:w="3119" w:type="dxa"/>
          </w:tcPr>
          <w:p>
            <w:pPr>
              <w:widowControl/>
              <w:jc w:val="left"/>
              <w:rPr>
                <w:rFonts w:ascii="宋体" w:hAnsi="宋体" w:eastAsia="宋体"/>
                <w:b/>
                <w:sz w:val="28"/>
                <w:szCs w:val="28"/>
              </w:rPr>
            </w:pPr>
          </w:p>
        </w:tc>
        <w:tc>
          <w:tcPr>
            <w:tcW w:w="708" w:type="dxa"/>
          </w:tcPr>
          <w:p>
            <w:pPr>
              <w:widowControl/>
              <w:jc w:val="left"/>
              <w:rPr>
                <w:rFonts w:ascii="宋体" w:hAnsi="宋体" w:eastAsia="宋体"/>
                <w:b/>
                <w:sz w:val="28"/>
                <w:szCs w:val="28"/>
              </w:rPr>
            </w:pPr>
          </w:p>
        </w:tc>
        <w:tc>
          <w:tcPr>
            <w:tcW w:w="1036"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widowControl/>
              <w:jc w:val="left"/>
              <w:rPr>
                <w:rFonts w:ascii="宋体" w:hAnsi="宋体" w:eastAsia="宋体"/>
                <w:b/>
                <w:sz w:val="28"/>
                <w:szCs w:val="28"/>
              </w:rPr>
            </w:pPr>
          </w:p>
        </w:tc>
        <w:tc>
          <w:tcPr>
            <w:tcW w:w="3119" w:type="dxa"/>
          </w:tcPr>
          <w:p>
            <w:pPr>
              <w:widowControl/>
              <w:jc w:val="left"/>
              <w:rPr>
                <w:rFonts w:ascii="宋体" w:hAnsi="宋体" w:eastAsia="宋体"/>
                <w:b/>
                <w:sz w:val="28"/>
                <w:szCs w:val="28"/>
              </w:rPr>
            </w:pPr>
            <w:r>
              <w:rPr>
                <w:rFonts w:hint="eastAsia" w:ascii="宋体" w:hAnsi="宋体" w:eastAsia="宋体"/>
                <w:b/>
                <w:sz w:val="28"/>
                <w:szCs w:val="28"/>
              </w:rPr>
              <w:t>其他费用</w:t>
            </w:r>
          </w:p>
        </w:tc>
        <w:tc>
          <w:tcPr>
            <w:tcW w:w="708" w:type="dxa"/>
          </w:tcPr>
          <w:p>
            <w:pPr>
              <w:widowControl/>
              <w:jc w:val="left"/>
              <w:rPr>
                <w:rFonts w:ascii="宋体" w:hAnsi="宋体" w:eastAsia="宋体"/>
                <w:b/>
                <w:sz w:val="28"/>
                <w:szCs w:val="28"/>
              </w:rPr>
            </w:pPr>
          </w:p>
        </w:tc>
        <w:tc>
          <w:tcPr>
            <w:tcW w:w="1036"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c>
          <w:tcPr>
            <w:tcW w:w="1421" w:type="dxa"/>
          </w:tcPr>
          <w:p>
            <w:pPr>
              <w:widowControl/>
              <w:jc w:val="left"/>
              <w:rPr>
                <w:rFonts w:ascii="宋体" w:hAnsi="宋体" w:eastAsia="宋体"/>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01" w:type="dxa"/>
            <w:gridSpan w:val="5"/>
          </w:tcPr>
          <w:p>
            <w:pPr>
              <w:widowControl/>
              <w:jc w:val="center"/>
              <w:rPr>
                <w:rFonts w:ascii="宋体" w:hAnsi="宋体" w:eastAsia="宋体"/>
                <w:b/>
                <w:sz w:val="28"/>
                <w:szCs w:val="28"/>
              </w:rPr>
            </w:pPr>
            <w:r>
              <w:rPr>
                <w:rFonts w:hint="eastAsia" w:ascii="宋体" w:hAnsi="宋体" w:eastAsia="宋体"/>
                <w:b/>
                <w:sz w:val="28"/>
                <w:szCs w:val="28"/>
              </w:rPr>
              <w:t>合计金额（元）</w:t>
            </w:r>
          </w:p>
        </w:tc>
        <w:tc>
          <w:tcPr>
            <w:tcW w:w="1421" w:type="dxa"/>
          </w:tcPr>
          <w:p>
            <w:pPr>
              <w:widowControl/>
              <w:jc w:val="left"/>
              <w:rPr>
                <w:rFonts w:ascii="宋体" w:hAnsi="宋体" w:eastAsia="宋体"/>
                <w:b/>
                <w:sz w:val="28"/>
                <w:szCs w:val="28"/>
              </w:rPr>
            </w:pPr>
          </w:p>
        </w:tc>
      </w:tr>
    </w:tbl>
    <w:p>
      <w:pPr>
        <w:widowControl/>
        <w:jc w:val="left"/>
        <w:rPr>
          <w:rFonts w:ascii="宋体" w:hAnsi="宋体" w:eastAsia="宋体"/>
          <w:sz w:val="28"/>
          <w:szCs w:val="28"/>
        </w:rPr>
      </w:pPr>
      <w:r>
        <w:rPr>
          <w:rFonts w:hint="eastAsia" w:ascii="宋体" w:hAnsi="宋体" w:eastAsia="宋体"/>
          <w:sz w:val="28"/>
          <w:szCs w:val="28"/>
        </w:rPr>
        <w:t>供应商盖章：</w:t>
      </w:r>
    </w:p>
    <w:p>
      <w:pPr>
        <w:widowControl/>
        <w:jc w:val="left"/>
        <w:rPr>
          <w:rFonts w:ascii="宋体" w:hAnsi="宋体" w:eastAsia="宋体"/>
          <w:sz w:val="28"/>
          <w:szCs w:val="28"/>
        </w:rPr>
      </w:pPr>
      <w:r>
        <w:rPr>
          <w:rFonts w:hint="eastAsia" w:ascii="宋体" w:hAnsi="宋体" w:eastAsia="宋体"/>
          <w:sz w:val="28"/>
          <w:szCs w:val="28"/>
        </w:rPr>
        <w:t>日      期：</w:t>
      </w:r>
    </w:p>
    <w:p>
      <w:pPr>
        <w:widowControl/>
        <w:jc w:val="left"/>
        <w:rPr>
          <w:rFonts w:ascii="宋体" w:hAnsi="宋体" w:eastAsia="宋体"/>
          <w:sz w:val="28"/>
          <w:szCs w:val="28"/>
        </w:rPr>
      </w:pPr>
    </w:p>
    <w:p>
      <w:pPr>
        <w:widowControl/>
        <w:jc w:val="left"/>
        <w:rPr>
          <w:rFonts w:ascii="宋体" w:hAnsi="宋体" w:eastAsia="宋体"/>
          <w:sz w:val="28"/>
          <w:szCs w:val="28"/>
        </w:rPr>
      </w:pPr>
      <w:r>
        <w:rPr>
          <w:rFonts w:hint="eastAsia" w:ascii="宋体" w:hAnsi="宋体" w:eastAsia="宋体"/>
          <w:sz w:val="28"/>
          <w:szCs w:val="28"/>
        </w:rPr>
        <w:t>备注：</w:t>
      </w:r>
    </w:p>
    <w:p>
      <w:pPr>
        <w:widowControl/>
        <w:ind w:firstLine="560" w:firstLineChars="200"/>
        <w:jc w:val="left"/>
        <w:rPr>
          <w:rFonts w:ascii="宋体" w:hAnsi="宋体" w:eastAsia="宋体"/>
          <w:b/>
          <w:sz w:val="28"/>
          <w:szCs w:val="28"/>
        </w:rPr>
      </w:pPr>
      <w:r>
        <w:rPr>
          <w:rFonts w:hint="eastAsia" w:ascii="宋体" w:hAnsi="宋体" w:eastAsia="宋体"/>
          <w:sz w:val="28"/>
          <w:szCs w:val="28"/>
        </w:rPr>
        <w:t>表中所列服务为对应本项目需求的全部内容。如有漏项，供应商承提全部责任。</w:t>
      </w:r>
      <w:r>
        <w:rPr>
          <w:rFonts w:ascii="宋体" w:hAnsi="宋体" w:eastAsia="宋体"/>
          <w:b/>
          <w:sz w:val="28"/>
          <w:szCs w:val="28"/>
        </w:rPr>
        <w:br w:type="page"/>
      </w: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二、响应函</w:t>
      </w:r>
      <w:bookmarkEnd w:id="1"/>
    </w:p>
    <w:p>
      <w:pPr>
        <w:tabs>
          <w:tab w:val="left" w:pos="630"/>
        </w:tabs>
        <w:spacing w:line="360" w:lineRule="auto"/>
        <w:jc w:val="left"/>
        <w:rPr>
          <w:rFonts w:ascii="宋体" w:hAnsi="宋体" w:eastAsia="宋体"/>
          <w:b/>
          <w:sz w:val="24"/>
        </w:rPr>
      </w:pPr>
      <w:r>
        <w:rPr>
          <w:rFonts w:hint="eastAsia" w:ascii="宋体" w:hAnsi="宋体" w:eastAsia="宋体"/>
          <w:b/>
          <w:sz w:val="24"/>
        </w:rPr>
        <w:t>致：合肥体育运动学校</w:t>
      </w:r>
    </w:p>
    <w:p>
      <w:pPr>
        <w:spacing w:line="360" w:lineRule="auto"/>
        <w:ind w:firstLine="435"/>
        <w:rPr>
          <w:rFonts w:asciiTheme="minorEastAsia" w:hAnsiTheme="minorEastAsia"/>
          <w:sz w:val="24"/>
        </w:rPr>
      </w:pPr>
      <w:r>
        <w:rPr>
          <w:rFonts w:hint="eastAsia" w:asciiTheme="minorEastAsia" w:hAnsiTheme="minorEastAsia"/>
          <w:sz w:val="24"/>
        </w:rPr>
        <w:t>根据贵方的招标公告和投标邀请，我方兹宣布同意如下：</w:t>
      </w:r>
    </w:p>
    <w:p>
      <w:pPr>
        <w:spacing w:line="360" w:lineRule="auto"/>
        <w:ind w:firstLine="435"/>
        <w:rPr>
          <w:rFonts w:asciiTheme="minorEastAsia" w:hAnsiTheme="minorEastAsia"/>
          <w:sz w:val="24"/>
        </w:rPr>
      </w:pPr>
      <w:r>
        <w:rPr>
          <w:rFonts w:hint="eastAsia" w:asciiTheme="minorEastAsia" w:hAnsiTheme="minorEastAsia"/>
          <w:sz w:val="24"/>
        </w:rPr>
        <w:t>1.按招标文件规定提供交付的货物（包括安装调试等工作）的最终投标报价见开标一览表，如我方中标，我方承诺愿意按招标文件规定缴纳履约保证金和中标服务费。</w:t>
      </w:r>
    </w:p>
    <w:p>
      <w:pPr>
        <w:spacing w:line="360" w:lineRule="auto"/>
        <w:ind w:firstLine="435"/>
        <w:rPr>
          <w:rFonts w:asciiTheme="minorEastAsia" w:hAnsiTheme="minorEastAsia"/>
          <w:sz w:val="24"/>
        </w:rPr>
      </w:pPr>
      <w:r>
        <w:rPr>
          <w:rFonts w:hint="eastAsia" w:asciiTheme="minorEastAsia" w:hAnsiTheme="minorEastAsia"/>
          <w:sz w:val="24"/>
        </w:rPr>
        <w:t>2.我方根据招标文件的规定，严格履行合同的责任和义务,并保证于买方要求的日期内完成供货、安装及服务，并通过买方验收。</w:t>
      </w:r>
    </w:p>
    <w:p>
      <w:pPr>
        <w:spacing w:line="360" w:lineRule="auto"/>
        <w:ind w:firstLine="435"/>
        <w:rPr>
          <w:rFonts w:asciiTheme="minorEastAsia" w:hAnsiTheme="minorEastAsia"/>
          <w:sz w:val="24"/>
        </w:rPr>
      </w:pPr>
      <w:r>
        <w:rPr>
          <w:rFonts w:hint="eastAsia" w:asciiTheme="minorEastAsia" w:hAnsiTheme="minorEastAsia"/>
          <w:sz w:val="24"/>
        </w:rPr>
        <w:t>3.我方承诺报价低于同类货物和服务的市场平均价格。</w:t>
      </w:r>
    </w:p>
    <w:p>
      <w:pPr>
        <w:spacing w:line="360" w:lineRule="auto"/>
        <w:ind w:firstLine="435"/>
        <w:rPr>
          <w:rFonts w:asciiTheme="minorEastAsia" w:hAnsiTheme="minorEastAsia"/>
          <w:sz w:val="24"/>
        </w:rPr>
      </w:pPr>
      <w:r>
        <w:rPr>
          <w:rFonts w:hint="eastAsia" w:asciiTheme="minorEastAsia" w:hAnsiTheme="minorEastAsia"/>
          <w:sz w:val="24"/>
        </w:rPr>
        <w:t>4.我方已详细审核全部招标文件，包括招标文件的澄清或修改（如有），参考资料及有关附件，我方正式认可并遵守本次招标文件，并对招标文件各项条款、规定及要求均无异议。我方知道必须放弃提出含糊不清或误解问题的权利。</w:t>
      </w:r>
    </w:p>
    <w:p>
      <w:pPr>
        <w:spacing w:line="360" w:lineRule="auto"/>
        <w:ind w:firstLine="435"/>
        <w:rPr>
          <w:rFonts w:asciiTheme="minorEastAsia" w:hAnsiTheme="minorEastAsia"/>
          <w:sz w:val="24"/>
        </w:rPr>
      </w:pPr>
      <w:r>
        <w:rPr>
          <w:rFonts w:hint="eastAsia" w:asciiTheme="minorEastAsia" w:hAnsiTheme="minorEastAsia"/>
          <w:sz w:val="24"/>
        </w:rPr>
        <w:t>5.我方同意从招标文件规定的开标日期起遵循本招标文件，并在招标文件规定的投标有效期之前均具有约束力。</w:t>
      </w:r>
    </w:p>
    <w:p>
      <w:pPr>
        <w:spacing w:line="360" w:lineRule="auto"/>
        <w:ind w:firstLine="435"/>
        <w:rPr>
          <w:rFonts w:asciiTheme="minorEastAsia" w:hAnsiTheme="minorEastAsia"/>
          <w:sz w:val="24"/>
        </w:rPr>
      </w:pPr>
      <w:r>
        <w:rPr>
          <w:rFonts w:hint="eastAsia" w:asciiTheme="minorEastAsia" w:hAnsiTheme="minorEastAsia"/>
          <w:sz w:val="24"/>
        </w:rPr>
        <w:t>6.我方声明投标文件所提供的一切资料均真实无误、及时、有效，企业运营正常。由于我方提供资料不实而造成的责任和后果由我方承担。我方同意按照贵方提出的要求，提供与投标有关的任何证据、数据或资料。</w:t>
      </w:r>
    </w:p>
    <w:p>
      <w:pPr>
        <w:spacing w:line="360" w:lineRule="auto"/>
        <w:ind w:firstLine="435"/>
        <w:rPr>
          <w:rFonts w:asciiTheme="minorEastAsia" w:hAnsiTheme="minorEastAsia"/>
          <w:sz w:val="24"/>
        </w:rPr>
      </w:pPr>
      <w:r>
        <w:rPr>
          <w:rFonts w:hint="eastAsia" w:asciiTheme="minorEastAsia" w:hAnsiTheme="minorEastAsia"/>
          <w:sz w:val="24"/>
        </w:rPr>
        <w:t>7.我方完全理解贵方不一定接受最低报价的投标。</w:t>
      </w:r>
    </w:p>
    <w:p>
      <w:pPr>
        <w:spacing w:line="360" w:lineRule="auto"/>
        <w:ind w:firstLine="435"/>
        <w:rPr>
          <w:rFonts w:asciiTheme="minorEastAsia" w:hAnsiTheme="minorEastAsia"/>
          <w:sz w:val="24"/>
        </w:rPr>
      </w:pPr>
      <w:r>
        <w:rPr>
          <w:rFonts w:hint="eastAsia" w:asciiTheme="minorEastAsia" w:hAnsiTheme="minorEastAsia"/>
          <w:sz w:val="24"/>
        </w:rPr>
        <w:t>8.我方接受招标文件规定的付款方式、免费质保要求。</w:t>
      </w: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52" w:firstLineChars="1772"/>
        <w:jc w:val="left"/>
        <w:rPr>
          <w:rFonts w:ascii="宋体" w:hAnsi="宋体" w:eastAsia="宋体"/>
          <w:sz w:val="24"/>
        </w:rPr>
      </w:pPr>
      <w:r>
        <w:rPr>
          <w:rFonts w:hint="eastAsia" w:ascii="宋体" w:hAnsi="宋体" w:eastAsia="宋体"/>
          <w:sz w:val="24"/>
        </w:rPr>
        <w:t>供应商签章：</w:t>
      </w:r>
    </w:p>
    <w:p>
      <w:pPr>
        <w:tabs>
          <w:tab w:val="left" w:pos="630"/>
        </w:tabs>
        <w:spacing w:line="360" w:lineRule="auto"/>
        <w:ind w:firstLine="4252" w:firstLineChars="1772"/>
        <w:jc w:val="left"/>
        <w:rPr>
          <w:rFonts w:ascii="宋体" w:hAnsi="宋体" w:eastAsia="宋体"/>
          <w:sz w:val="24"/>
          <w:u w:val="single"/>
        </w:rPr>
      </w:pPr>
      <w:r>
        <w:rPr>
          <w:rFonts w:hint="eastAsia" w:ascii="宋体" w:hAnsi="宋体" w:eastAsia="宋体"/>
          <w:sz w:val="24"/>
        </w:rPr>
        <w:t>日    期：</w:t>
      </w: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ind w:firstLine="4228" w:firstLineChars="1762"/>
        <w:jc w:val="left"/>
        <w:rPr>
          <w:rFonts w:ascii="宋体" w:hAnsi="宋体" w:eastAsia="宋体"/>
          <w:sz w:val="24"/>
          <w:u w:val="single"/>
        </w:rPr>
      </w:pP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三、无重大违法记录声明函、无不良信用记录声明函</w:t>
      </w:r>
    </w:p>
    <w:p>
      <w:pPr>
        <w:spacing w:line="360" w:lineRule="auto"/>
        <w:ind w:firstLine="435"/>
        <w:rPr>
          <w:rFonts w:ascii="宋体" w:hAnsi="宋体" w:eastAsia="宋体"/>
          <w:sz w:val="24"/>
        </w:rPr>
      </w:pPr>
      <w:r>
        <w:rPr>
          <w:rFonts w:hint="eastAsia" w:ascii="宋体" w:hAnsi="宋体" w:eastAsia="宋体"/>
          <w:sz w:val="24"/>
        </w:rPr>
        <w:t>1.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pPr>
        <w:spacing w:line="360" w:lineRule="auto"/>
        <w:ind w:firstLine="435"/>
        <w:rPr>
          <w:rFonts w:asciiTheme="minorEastAsia" w:hAnsiTheme="minorEastAsia"/>
          <w:sz w:val="24"/>
        </w:rPr>
      </w:pPr>
      <w:r>
        <w:rPr>
          <w:rFonts w:hint="eastAsia" w:asciiTheme="minorEastAsia" w:hAnsiTheme="minorEastAsia"/>
          <w:sz w:val="24"/>
        </w:rPr>
        <w:t>2.本单位郑重声明，我单位无以下不良信用记录情形：</w:t>
      </w:r>
    </w:p>
    <w:p>
      <w:pPr>
        <w:spacing w:line="360" w:lineRule="auto"/>
        <w:ind w:firstLine="435"/>
        <w:rPr>
          <w:rFonts w:asciiTheme="minorEastAsia" w:hAnsiTheme="minorEastAsia"/>
          <w:sz w:val="24"/>
        </w:rPr>
      </w:pPr>
      <w:r>
        <w:rPr>
          <w:rFonts w:hint="eastAsia" w:asciiTheme="minorEastAsia" w:hAnsiTheme="minorEastAsia"/>
          <w:sz w:val="24"/>
        </w:rPr>
        <w:t>（1）被人民法院列入失信被执行人；</w:t>
      </w:r>
    </w:p>
    <w:p>
      <w:pPr>
        <w:spacing w:line="360" w:lineRule="auto"/>
        <w:ind w:firstLine="435"/>
        <w:rPr>
          <w:rFonts w:asciiTheme="minorEastAsia" w:hAnsiTheme="minorEastAsia"/>
          <w:sz w:val="24"/>
        </w:rPr>
      </w:pPr>
      <w:r>
        <w:rPr>
          <w:rFonts w:hint="eastAsia" w:asciiTheme="minorEastAsia" w:hAnsiTheme="minorEastAsia"/>
          <w:sz w:val="24"/>
        </w:rPr>
        <w:t>（2）单位、法定代表人或拟派项目经理（项目负责人）被人民检察院列入行贿犯罪档案；</w:t>
      </w:r>
    </w:p>
    <w:p>
      <w:pPr>
        <w:spacing w:line="360" w:lineRule="auto"/>
        <w:ind w:firstLine="435"/>
        <w:rPr>
          <w:rFonts w:asciiTheme="minorEastAsia" w:hAnsiTheme="minorEastAsia"/>
          <w:sz w:val="24"/>
        </w:rPr>
      </w:pPr>
      <w:r>
        <w:rPr>
          <w:rFonts w:hint="eastAsia" w:asciiTheme="minorEastAsia" w:hAnsiTheme="minorEastAsia"/>
          <w:sz w:val="24"/>
        </w:rPr>
        <w:t>（3）被工商行政管理部门列入企业经营异常名录；</w:t>
      </w:r>
    </w:p>
    <w:p>
      <w:pPr>
        <w:spacing w:line="360" w:lineRule="auto"/>
        <w:ind w:firstLine="435"/>
        <w:rPr>
          <w:rFonts w:asciiTheme="minorEastAsia" w:hAnsiTheme="minorEastAsia"/>
          <w:sz w:val="24"/>
        </w:rPr>
      </w:pPr>
      <w:r>
        <w:rPr>
          <w:rFonts w:hint="eastAsia" w:asciiTheme="minorEastAsia" w:hAnsiTheme="minorEastAsia"/>
          <w:sz w:val="24"/>
        </w:rPr>
        <w:t>（4）被税务部门列入重大税收违法案件当事人名单；</w:t>
      </w:r>
    </w:p>
    <w:p>
      <w:pPr>
        <w:spacing w:line="360" w:lineRule="auto"/>
        <w:ind w:firstLine="435"/>
        <w:rPr>
          <w:rFonts w:ascii="宋体" w:hAnsi="宋体" w:eastAsia="宋体"/>
          <w:sz w:val="24"/>
        </w:rPr>
      </w:pPr>
      <w:r>
        <w:rPr>
          <w:rFonts w:hint="eastAsia" w:asciiTheme="minorEastAsia" w:hAnsiTheme="minorEastAsia"/>
          <w:sz w:val="24"/>
        </w:rPr>
        <w:t>（5）被政府采购监管部门列入政府采购严重违法失信行为记录</w:t>
      </w:r>
      <w:r>
        <w:rPr>
          <w:rFonts w:hint="eastAsia" w:ascii="宋体" w:hAnsi="宋体" w:eastAsia="宋体"/>
          <w:sz w:val="24"/>
        </w:rPr>
        <w:t>名单。</w:t>
      </w:r>
    </w:p>
    <w:p>
      <w:pPr>
        <w:spacing w:line="360" w:lineRule="auto"/>
        <w:ind w:firstLine="435"/>
        <w:rPr>
          <w:rFonts w:ascii="宋体" w:hAnsi="宋体" w:eastAsia="宋体"/>
          <w:sz w:val="24"/>
        </w:rPr>
      </w:pPr>
      <w:r>
        <w:rPr>
          <w:rFonts w:hint="eastAsia" w:ascii="宋体" w:hAnsi="宋体" w:eastAsia="宋体"/>
          <w:sz w:val="24"/>
        </w:rPr>
        <w:t>3.</w:t>
      </w:r>
      <w:r>
        <w:rPr>
          <w:rFonts w:ascii="宋体" w:hAnsi="宋体" w:eastAsia="宋体"/>
          <w:sz w:val="24"/>
        </w:rPr>
        <w:t xml:space="preserve">本单位郑重声明，符合下列情形之一： </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1）开标日前两年内未被合肥市及其所辖县（市）</w:t>
      </w:r>
      <w:r>
        <w:rPr>
          <w:rFonts w:hint="eastAsia" w:ascii="宋体" w:hAnsi="宋体" w:eastAsia="宋体"/>
          <w:sz w:val="24"/>
        </w:rPr>
        <w:t>及区（开发区）</w:t>
      </w:r>
      <w:r>
        <w:rPr>
          <w:rFonts w:ascii="宋体" w:hAnsi="宋体" w:eastAsia="宋体"/>
          <w:sz w:val="24"/>
        </w:rPr>
        <w:t>公共资源交易监督部门记不良行为记录或记不良行为记录累计未满10分的；</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2）最近一次被合肥市及其所辖县（市）</w:t>
      </w:r>
      <w:r>
        <w:rPr>
          <w:rFonts w:hint="eastAsia" w:ascii="宋体" w:hAnsi="宋体" w:eastAsia="宋体"/>
          <w:sz w:val="24"/>
        </w:rPr>
        <w:t>及区（开发区）</w:t>
      </w:r>
      <w:r>
        <w:rPr>
          <w:rFonts w:ascii="宋体" w:hAnsi="宋体" w:eastAsia="宋体"/>
          <w:sz w:val="24"/>
        </w:rPr>
        <w:t>公共资源交易监督部门记不良行为记录累计记分达10分（含10分）到15分且公布日距开标日超过6个月；</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3）最近一次被合肥市及其所辖县（市）</w:t>
      </w:r>
      <w:r>
        <w:rPr>
          <w:rFonts w:hint="eastAsia" w:ascii="宋体" w:hAnsi="宋体" w:eastAsia="宋体"/>
          <w:sz w:val="24"/>
        </w:rPr>
        <w:t>及区（开发区）</w:t>
      </w:r>
      <w:r>
        <w:rPr>
          <w:rFonts w:ascii="宋体" w:hAnsi="宋体" w:eastAsia="宋体"/>
          <w:sz w:val="24"/>
        </w:rPr>
        <w:t>公共资源交易监督部门记不良行为记录累计记分达15分（含15分）到20分且公布日距开标日超过12个月；</w:t>
      </w:r>
    </w:p>
    <w:p>
      <w:pPr>
        <w:spacing w:line="360" w:lineRule="auto"/>
        <w:ind w:firstLine="435"/>
        <w:rPr>
          <w:rFonts w:ascii="宋体" w:hAnsi="宋体" w:eastAsia="宋体"/>
          <w:sz w:val="24"/>
        </w:rPr>
      </w:pPr>
      <w:r>
        <w:rPr>
          <w:rFonts w:hint="eastAsia" w:ascii="宋体" w:hAnsi="宋体" w:eastAsia="宋体"/>
          <w:sz w:val="24"/>
        </w:rPr>
        <w:t>（</w:t>
      </w:r>
      <w:r>
        <w:rPr>
          <w:rFonts w:ascii="宋体" w:hAnsi="宋体" w:eastAsia="宋体"/>
          <w:sz w:val="24"/>
        </w:rPr>
        <w:t>4）最近一次被合肥市及其所辖县（市）</w:t>
      </w:r>
      <w:r>
        <w:rPr>
          <w:rFonts w:hint="eastAsia" w:ascii="宋体" w:hAnsi="宋体" w:eastAsia="宋体"/>
          <w:sz w:val="24"/>
        </w:rPr>
        <w:t>及区（开发区）</w:t>
      </w:r>
      <w:r>
        <w:rPr>
          <w:rFonts w:ascii="宋体" w:hAnsi="宋体" w:eastAsia="宋体"/>
          <w:sz w:val="24"/>
        </w:rPr>
        <w:t>公共资源交易监督部门记不良行为记录累计记分达20分（含20分）及以上且公布日距开标日超过24个月</w:t>
      </w:r>
      <w:r>
        <w:rPr>
          <w:rFonts w:hint="eastAsia" w:ascii="宋体" w:hAnsi="宋体" w:eastAsia="宋体"/>
          <w:sz w:val="24"/>
        </w:rPr>
        <w:t>。</w:t>
      </w:r>
    </w:p>
    <w:p>
      <w:pPr>
        <w:spacing w:line="360" w:lineRule="auto"/>
        <w:ind w:firstLine="435"/>
        <w:rPr>
          <w:rFonts w:ascii="宋体" w:hAnsi="宋体" w:eastAsia="宋体"/>
          <w:sz w:val="24"/>
        </w:rPr>
      </w:pPr>
      <w:r>
        <w:rPr>
          <w:rFonts w:hint="eastAsia" w:ascii="宋体" w:hAnsi="宋体" w:eastAsia="宋体"/>
          <w:sz w:val="24"/>
        </w:rPr>
        <w:t>本单位对</w:t>
      </w:r>
      <w:r>
        <w:rPr>
          <w:rFonts w:hint="eastAsia" w:asciiTheme="minorEastAsia" w:hAnsiTheme="minorEastAsia"/>
          <w:sz w:val="24"/>
        </w:rPr>
        <w:t>上述</w:t>
      </w:r>
      <w:r>
        <w:rPr>
          <w:rFonts w:hint="eastAsia" w:ascii="宋体" w:hAnsi="宋体" w:eastAsia="宋体"/>
          <w:sz w:val="24"/>
        </w:rPr>
        <w:t>声明的真实性负责。如有虚假，将依法承担相应责任。</w:t>
      </w:r>
    </w:p>
    <w:p>
      <w:pPr>
        <w:tabs>
          <w:tab w:val="left" w:pos="630"/>
        </w:tabs>
        <w:spacing w:line="360" w:lineRule="auto"/>
        <w:ind w:firstLine="4228" w:firstLineChars="1762"/>
        <w:jc w:val="left"/>
        <w:rPr>
          <w:rFonts w:ascii="宋体" w:hAnsi="宋体" w:eastAsia="宋体"/>
          <w:sz w:val="24"/>
        </w:rPr>
      </w:pPr>
    </w:p>
    <w:p>
      <w:pPr>
        <w:tabs>
          <w:tab w:val="left" w:pos="630"/>
        </w:tabs>
        <w:spacing w:line="360" w:lineRule="auto"/>
        <w:ind w:firstLine="4228" w:firstLineChars="1762"/>
        <w:jc w:val="left"/>
        <w:rPr>
          <w:rFonts w:ascii="宋体" w:hAnsi="宋体" w:eastAsia="宋体"/>
          <w:sz w:val="24"/>
          <w:u w:val="single"/>
        </w:rPr>
      </w:pPr>
      <w:r>
        <w:rPr>
          <w:rFonts w:hint="eastAsia" w:ascii="宋体" w:hAnsi="宋体" w:eastAsia="宋体"/>
          <w:sz w:val="24"/>
        </w:rPr>
        <w:t>供应商签章：</w:t>
      </w:r>
    </w:p>
    <w:p>
      <w:pPr>
        <w:tabs>
          <w:tab w:val="left" w:pos="630"/>
        </w:tabs>
        <w:spacing w:line="360" w:lineRule="auto"/>
        <w:ind w:firstLine="4228" w:firstLineChars="1762"/>
        <w:jc w:val="left"/>
        <w:rPr>
          <w:rFonts w:ascii="宋体" w:hAnsi="宋体" w:eastAsia="宋体"/>
          <w:sz w:val="24"/>
          <w:u w:val="single"/>
        </w:rPr>
      </w:pPr>
      <w:r>
        <w:rPr>
          <w:rFonts w:hint="eastAsia" w:ascii="宋体" w:hAnsi="宋体" w:eastAsia="宋体"/>
          <w:sz w:val="24"/>
        </w:rPr>
        <w:t>日      期：</w:t>
      </w:r>
    </w:p>
    <w:p>
      <w:pPr>
        <w:tabs>
          <w:tab w:val="left" w:pos="630"/>
        </w:tabs>
        <w:spacing w:line="360" w:lineRule="auto"/>
        <w:jc w:val="center"/>
        <w:rPr>
          <w:rFonts w:ascii="宋体" w:hAnsi="宋体" w:eastAsia="宋体"/>
          <w:b/>
          <w:sz w:val="28"/>
          <w:szCs w:val="28"/>
        </w:rPr>
      </w:pPr>
      <w:r>
        <w:rPr>
          <w:rFonts w:ascii="宋体" w:hAnsi="宋体" w:eastAsia="宋体"/>
          <w:sz w:val="24"/>
          <w:u w:val="single"/>
        </w:rPr>
        <w:br w:type="page"/>
      </w:r>
      <w:bookmarkStart w:id="2" w:name="_Toc520983594"/>
      <w:bookmarkStart w:id="3" w:name="_Toc204594911"/>
      <w:bookmarkStart w:id="4" w:name="_Toc121626298"/>
      <w:bookmarkStart w:id="5" w:name="_Toc516969106"/>
      <w:r>
        <w:rPr>
          <w:rFonts w:hint="eastAsia" w:ascii="宋体" w:hAnsi="宋体" w:eastAsia="宋体"/>
          <w:b/>
          <w:sz w:val="28"/>
          <w:szCs w:val="28"/>
        </w:rPr>
        <w:t>四、授权书</w:t>
      </w:r>
      <w:bookmarkEnd w:id="2"/>
      <w:bookmarkEnd w:id="3"/>
      <w:bookmarkEnd w:id="4"/>
      <w:bookmarkEnd w:id="5"/>
    </w:p>
    <w:p>
      <w:pPr>
        <w:tabs>
          <w:tab w:val="left" w:pos="630"/>
        </w:tabs>
        <w:spacing w:line="360" w:lineRule="auto"/>
        <w:ind w:firstLine="480" w:firstLineChars="200"/>
        <w:rPr>
          <w:rFonts w:ascii="宋体" w:hAnsi="宋体" w:eastAsia="宋体"/>
          <w:sz w:val="24"/>
          <w:szCs w:val="28"/>
        </w:rPr>
      </w:pPr>
      <w:r>
        <w:rPr>
          <w:rFonts w:hint="eastAsia" w:ascii="宋体" w:hAnsi="宋体" w:eastAsia="宋体"/>
          <w:sz w:val="24"/>
          <w:szCs w:val="28"/>
        </w:rPr>
        <w:t>本授权书声明：（供应商名称）授权（供应商授权代表姓名、职务）代表我方参加本项目</w:t>
      </w:r>
      <w:r>
        <w:rPr>
          <w:rFonts w:hint="eastAsia" w:ascii="宋体" w:hAnsi="宋体" w:eastAsia="宋体"/>
          <w:bCs/>
          <w:sz w:val="24"/>
          <w:szCs w:val="28"/>
        </w:rPr>
        <w:t>采购活动</w:t>
      </w:r>
      <w:r>
        <w:rPr>
          <w:rFonts w:hint="eastAsia" w:ascii="宋体" w:hAnsi="宋体" w:eastAsia="宋体"/>
          <w:sz w:val="24"/>
          <w:szCs w:val="28"/>
        </w:rPr>
        <w:t>，全权代表我方处理招标过程的一切事宜，包括但不限于：提交响应文件、参与招标、签约等。供应商授权代表在采购活动过程中所签署的一切文件和处理与之有关的一切事务，本公司均予以认可并对此承担责任。供应商授权代表无转委托权。特此授权。</w:t>
      </w:r>
    </w:p>
    <w:p>
      <w:pPr>
        <w:tabs>
          <w:tab w:val="left" w:pos="630"/>
        </w:tabs>
        <w:spacing w:line="360" w:lineRule="auto"/>
        <w:ind w:firstLine="480" w:firstLineChars="200"/>
        <w:rPr>
          <w:rFonts w:ascii="宋体" w:hAnsi="宋体" w:eastAsia="宋体"/>
          <w:sz w:val="24"/>
          <w:szCs w:val="28"/>
        </w:rPr>
      </w:pPr>
      <w:r>
        <w:rPr>
          <w:rFonts w:hint="eastAsia" w:ascii="宋体" w:hAnsi="宋体" w:eastAsia="宋体"/>
          <w:sz w:val="24"/>
          <w:szCs w:val="28"/>
        </w:rPr>
        <w:t>本授权书自出具之日起生效。</w:t>
      </w:r>
    </w:p>
    <w:p>
      <w:pPr>
        <w:tabs>
          <w:tab w:val="left" w:pos="630"/>
        </w:tabs>
        <w:spacing w:line="360" w:lineRule="auto"/>
        <w:ind w:firstLine="480" w:firstLineChars="200"/>
        <w:rPr>
          <w:rFonts w:ascii="宋体" w:hAnsi="宋体" w:eastAsia="宋体"/>
          <w:sz w:val="24"/>
        </w:rPr>
      </w:pPr>
      <w:r>
        <w:rPr>
          <w:rFonts w:hint="eastAsia" w:ascii="宋体" w:hAnsi="宋体" w:eastAsia="宋体"/>
          <w:sz w:val="24"/>
          <w:szCs w:val="28"/>
        </w:rPr>
        <w:t>授权代表</w:t>
      </w:r>
      <w:r>
        <w:rPr>
          <w:rFonts w:hint="eastAsia" w:ascii="宋体" w:hAnsi="宋体" w:eastAsia="宋体"/>
          <w:sz w:val="24"/>
        </w:rPr>
        <w:t>身份证明扫描件：</w:t>
      </w: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rPr>
      </w:pPr>
    </w:p>
    <w:p>
      <w:pPr>
        <w:tabs>
          <w:tab w:val="left" w:pos="630"/>
        </w:tabs>
        <w:spacing w:line="360" w:lineRule="auto"/>
        <w:rPr>
          <w:rFonts w:ascii="宋体" w:hAnsi="宋体" w:eastAsia="宋体"/>
          <w:sz w:val="24"/>
          <w:szCs w:val="28"/>
          <w:u w:val="single"/>
        </w:rPr>
      </w:pPr>
      <w:r>
        <w:rPr>
          <w:rFonts w:hint="eastAsia" w:ascii="宋体" w:hAnsi="宋体" w:eastAsia="宋体"/>
          <w:sz w:val="24"/>
          <w:szCs w:val="28"/>
        </w:rPr>
        <w:t>授权代表联系方式：</w:t>
      </w:r>
      <w:r>
        <w:rPr>
          <w:rFonts w:hint="eastAsia" w:ascii="宋体" w:hAnsi="宋体" w:eastAsia="宋体"/>
          <w:sz w:val="24"/>
          <w:szCs w:val="28"/>
          <w:u w:val="single"/>
        </w:rPr>
        <w:t xml:space="preserve">          （请填写手机号码）</w:t>
      </w: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ind w:firstLine="4228" w:firstLineChars="1762"/>
        <w:rPr>
          <w:rFonts w:ascii="宋体" w:hAnsi="宋体" w:eastAsia="宋体"/>
          <w:sz w:val="24"/>
          <w:szCs w:val="28"/>
        </w:rPr>
      </w:pPr>
      <w:r>
        <w:rPr>
          <w:rFonts w:hint="eastAsia" w:ascii="宋体" w:hAnsi="宋体" w:eastAsia="宋体"/>
          <w:sz w:val="24"/>
          <w:szCs w:val="28"/>
        </w:rPr>
        <w:t>特此声明。</w:t>
      </w: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ind w:firstLine="4228" w:firstLineChars="1762"/>
        <w:rPr>
          <w:rFonts w:ascii="宋体" w:hAnsi="宋体" w:eastAsia="宋体"/>
          <w:sz w:val="24"/>
        </w:rPr>
      </w:pPr>
      <w:r>
        <w:rPr>
          <w:rFonts w:hint="eastAsia" w:ascii="宋体" w:hAnsi="宋体" w:eastAsia="宋体"/>
          <w:sz w:val="24"/>
        </w:rPr>
        <w:t>供应商盖章：</w:t>
      </w: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日      期：</w:t>
      </w: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ind w:firstLine="4228" w:firstLineChars="1762"/>
        <w:rPr>
          <w:rFonts w:ascii="宋体" w:hAnsi="宋体" w:eastAsia="宋体"/>
          <w:sz w:val="24"/>
          <w:szCs w:val="28"/>
        </w:rPr>
      </w:pPr>
    </w:p>
    <w:p>
      <w:pPr>
        <w:tabs>
          <w:tab w:val="left" w:pos="630"/>
        </w:tabs>
        <w:spacing w:line="360" w:lineRule="auto"/>
        <w:rPr>
          <w:rFonts w:ascii="宋体" w:hAnsi="宋体" w:eastAsia="宋体"/>
          <w:sz w:val="24"/>
          <w:szCs w:val="28"/>
        </w:rPr>
      </w:pPr>
      <w:r>
        <w:rPr>
          <w:rFonts w:hint="eastAsia" w:ascii="宋体" w:hAnsi="宋体" w:eastAsia="宋体"/>
          <w:sz w:val="24"/>
          <w:szCs w:val="28"/>
        </w:rPr>
        <w:t>注：</w:t>
      </w:r>
    </w:p>
    <w:p>
      <w:pPr>
        <w:tabs>
          <w:tab w:val="left" w:pos="630"/>
        </w:tabs>
        <w:spacing w:line="360" w:lineRule="auto"/>
        <w:rPr>
          <w:rFonts w:ascii="宋体" w:hAnsi="宋体" w:eastAsia="宋体"/>
          <w:sz w:val="24"/>
          <w:szCs w:val="28"/>
        </w:rPr>
      </w:pPr>
      <w:r>
        <w:rPr>
          <w:rFonts w:hint="eastAsia" w:ascii="宋体" w:hAnsi="宋体" w:eastAsia="宋体"/>
          <w:sz w:val="24"/>
          <w:szCs w:val="28"/>
        </w:rPr>
        <w:t>1.本项目只允许有唯一的供应商授权代表，提供身份证明扫描件；</w:t>
      </w:r>
    </w:p>
    <w:p>
      <w:pPr>
        <w:tabs>
          <w:tab w:val="left" w:pos="630"/>
        </w:tabs>
        <w:spacing w:line="360" w:lineRule="auto"/>
        <w:rPr>
          <w:rFonts w:ascii="宋体" w:hAnsi="宋体" w:eastAsia="宋体"/>
          <w:b/>
          <w:sz w:val="24"/>
        </w:rPr>
      </w:pPr>
      <w:r>
        <w:rPr>
          <w:rFonts w:hint="eastAsia" w:ascii="宋体" w:hAnsi="宋体" w:eastAsia="宋体"/>
          <w:sz w:val="24"/>
        </w:rPr>
        <w:t>2.法定代表人参加招标的无需提供授权书，仅提供身份证明扫描件。</w:t>
      </w:r>
    </w:p>
    <w:p>
      <w:pPr>
        <w:tabs>
          <w:tab w:val="left" w:pos="630"/>
        </w:tabs>
        <w:spacing w:line="360" w:lineRule="auto"/>
        <w:ind w:firstLine="4245" w:firstLineChars="1762"/>
        <w:rPr>
          <w:rFonts w:ascii="宋体" w:hAnsi="宋体" w:eastAsia="宋体"/>
          <w:b/>
          <w:sz w:val="24"/>
        </w:rPr>
      </w:pPr>
      <w:r>
        <w:rPr>
          <w:rFonts w:ascii="宋体" w:hAnsi="宋体" w:eastAsia="宋体"/>
          <w:b/>
          <w:sz w:val="24"/>
        </w:rPr>
        <w:br w:type="page"/>
      </w: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五、投标响应表</w:t>
      </w:r>
    </w:p>
    <w:p>
      <w:pPr>
        <w:tabs>
          <w:tab w:val="left" w:pos="630"/>
        </w:tabs>
        <w:spacing w:line="360" w:lineRule="auto"/>
        <w:jc w:val="left"/>
        <w:rPr>
          <w:rFonts w:ascii="宋体" w:hAnsi="宋体" w:eastAsia="宋体"/>
          <w:b/>
          <w:sz w:val="24"/>
        </w:rPr>
      </w:pPr>
      <w:r>
        <w:rPr>
          <w:rFonts w:hint="eastAsia" w:ascii="宋体" w:hAnsi="宋体" w:eastAsia="宋体"/>
          <w:b/>
          <w:sz w:val="24"/>
        </w:rPr>
        <w:t>5.1商务响应表</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916"/>
        <w:gridCol w:w="2497"/>
        <w:gridCol w:w="2575"/>
        <w:gridCol w:w="8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24"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序号</w:t>
            </w:r>
          </w:p>
        </w:tc>
        <w:tc>
          <w:tcPr>
            <w:tcW w:w="1916" w:type="dxa"/>
            <w:vAlign w:val="center"/>
          </w:tcPr>
          <w:p>
            <w:pPr>
              <w:pStyle w:val="6"/>
              <w:jc w:val="center"/>
              <w:rPr>
                <w:rFonts w:cs="Wingdings" w:asciiTheme="minorEastAsia" w:hAnsiTheme="minorEastAsia"/>
                <w:b/>
                <w:sz w:val="24"/>
              </w:rPr>
            </w:pPr>
            <w:r>
              <w:rPr>
                <w:rFonts w:hint="eastAsia" w:asciiTheme="minorEastAsia" w:hAnsiTheme="minorEastAsia"/>
                <w:b/>
                <w:bCs/>
                <w:sz w:val="24"/>
                <w:szCs w:val="24"/>
              </w:rPr>
              <w:t>商务条款</w:t>
            </w:r>
          </w:p>
        </w:tc>
        <w:tc>
          <w:tcPr>
            <w:tcW w:w="2497"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磋商文件要求</w:t>
            </w:r>
          </w:p>
        </w:tc>
        <w:tc>
          <w:tcPr>
            <w:tcW w:w="2575"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供应商承诺</w:t>
            </w:r>
          </w:p>
        </w:tc>
        <w:tc>
          <w:tcPr>
            <w:tcW w:w="810"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heme="minorEastAsia" w:hAnsiTheme="minorEastAsia"/>
                <w:sz w:val="24"/>
              </w:rPr>
            </w:pPr>
            <w:r>
              <w:rPr>
                <w:rFonts w:asciiTheme="minorEastAsia" w:hAnsiTheme="minorEastAsia"/>
                <w:sz w:val="24"/>
              </w:rPr>
              <w:t>1</w:t>
            </w:r>
          </w:p>
        </w:tc>
        <w:tc>
          <w:tcPr>
            <w:tcW w:w="1916" w:type="dxa"/>
            <w:vAlign w:val="center"/>
          </w:tcPr>
          <w:p>
            <w:pPr>
              <w:jc w:val="center"/>
              <w:rPr>
                <w:rFonts w:ascii="宋体" w:hAnsi="宋体" w:eastAsia="宋体"/>
                <w:sz w:val="24"/>
              </w:rPr>
            </w:pPr>
            <w:r>
              <w:rPr>
                <w:rFonts w:asciiTheme="minorEastAsia" w:hAnsiTheme="minorEastAsia"/>
                <w:sz w:val="24"/>
              </w:rPr>
              <w:t>付款方式</w:t>
            </w:r>
          </w:p>
        </w:tc>
        <w:tc>
          <w:tcPr>
            <w:tcW w:w="2497" w:type="dxa"/>
            <w:vAlign w:val="center"/>
          </w:tcPr>
          <w:p>
            <w:pPr>
              <w:jc w:val="center"/>
              <w:rPr>
                <w:rFonts w:asciiTheme="minorEastAsia" w:hAnsiTheme="minorEastAsia"/>
                <w:sz w:val="24"/>
              </w:rPr>
            </w:pPr>
          </w:p>
        </w:tc>
        <w:tc>
          <w:tcPr>
            <w:tcW w:w="2575" w:type="dxa"/>
            <w:vAlign w:val="center"/>
          </w:tcPr>
          <w:p>
            <w:pPr>
              <w:jc w:val="center"/>
              <w:rPr>
                <w:rFonts w:asciiTheme="minorEastAsia" w:hAnsiTheme="minorEastAsia"/>
                <w:sz w:val="24"/>
              </w:rPr>
            </w:pPr>
          </w:p>
        </w:tc>
        <w:tc>
          <w:tcPr>
            <w:tcW w:w="810"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heme="minorEastAsia" w:hAnsiTheme="minorEastAsia"/>
                <w:sz w:val="24"/>
              </w:rPr>
            </w:pPr>
            <w:r>
              <w:rPr>
                <w:rFonts w:hint="eastAsia" w:asciiTheme="minorEastAsia" w:hAnsiTheme="minorEastAsia"/>
                <w:sz w:val="24"/>
              </w:rPr>
              <w:t>2</w:t>
            </w:r>
          </w:p>
        </w:tc>
        <w:tc>
          <w:tcPr>
            <w:tcW w:w="1916" w:type="dxa"/>
            <w:vAlign w:val="center"/>
          </w:tcPr>
          <w:p>
            <w:pPr>
              <w:jc w:val="center"/>
              <w:rPr>
                <w:rFonts w:ascii="宋体" w:hAnsi="宋体" w:eastAsia="宋体"/>
                <w:sz w:val="24"/>
              </w:rPr>
            </w:pPr>
            <w:r>
              <w:rPr>
                <w:rFonts w:hint="eastAsia" w:ascii="宋体" w:hAnsi="宋体" w:eastAsia="宋体"/>
                <w:sz w:val="24"/>
              </w:rPr>
              <w:t>供货及安装地点</w:t>
            </w:r>
          </w:p>
        </w:tc>
        <w:tc>
          <w:tcPr>
            <w:tcW w:w="2497" w:type="dxa"/>
            <w:vAlign w:val="center"/>
          </w:tcPr>
          <w:p>
            <w:pPr>
              <w:jc w:val="center"/>
              <w:rPr>
                <w:rFonts w:asciiTheme="minorEastAsia" w:hAnsiTheme="minorEastAsia"/>
                <w:sz w:val="24"/>
              </w:rPr>
            </w:pPr>
          </w:p>
        </w:tc>
        <w:tc>
          <w:tcPr>
            <w:tcW w:w="2575" w:type="dxa"/>
            <w:vAlign w:val="center"/>
          </w:tcPr>
          <w:p>
            <w:pPr>
              <w:jc w:val="center"/>
              <w:rPr>
                <w:rFonts w:asciiTheme="minorEastAsia" w:hAnsiTheme="minorEastAsia"/>
                <w:sz w:val="24"/>
              </w:rPr>
            </w:pPr>
          </w:p>
        </w:tc>
        <w:tc>
          <w:tcPr>
            <w:tcW w:w="810"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heme="minorEastAsia" w:hAnsiTheme="minorEastAsia"/>
                <w:sz w:val="24"/>
              </w:rPr>
            </w:pPr>
            <w:r>
              <w:rPr>
                <w:rFonts w:hint="eastAsia" w:asciiTheme="minorEastAsia" w:hAnsiTheme="minorEastAsia"/>
                <w:sz w:val="24"/>
              </w:rPr>
              <w:t>3</w:t>
            </w:r>
          </w:p>
        </w:tc>
        <w:tc>
          <w:tcPr>
            <w:tcW w:w="1916" w:type="dxa"/>
            <w:vAlign w:val="center"/>
          </w:tcPr>
          <w:p>
            <w:pPr>
              <w:jc w:val="center"/>
              <w:rPr>
                <w:rFonts w:ascii="宋体" w:hAnsi="宋体" w:eastAsia="宋体"/>
                <w:sz w:val="24"/>
              </w:rPr>
            </w:pPr>
            <w:r>
              <w:rPr>
                <w:rFonts w:hint="eastAsia" w:ascii="宋体" w:hAnsi="宋体" w:eastAsia="宋体"/>
                <w:sz w:val="24"/>
              </w:rPr>
              <w:t>供货及安装期限</w:t>
            </w:r>
          </w:p>
        </w:tc>
        <w:tc>
          <w:tcPr>
            <w:tcW w:w="2497" w:type="dxa"/>
            <w:vAlign w:val="center"/>
          </w:tcPr>
          <w:p>
            <w:pPr>
              <w:jc w:val="center"/>
              <w:rPr>
                <w:rFonts w:asciiTheme="minorEastAsia" w:hAnsiTheme="minorEastAsia"/>
                <w:sz w:val="24"/>
              </w:rPr>
            </w:pPr>
          </w:p>
        </w:tc>
        <w:tc>
          <w:tcPr>
            <w:tcW w:w="2575" w:type="dxa"/>
            <w:vAlign w:val="center"/>
          </w:tcPr>
          <w:p>
            <w:pPr>
              <w:pStyle w:val="23"/>
              <w:jc w:val="center"/>
              <w:rPr>
                <w:rFonts w:asciiTheme="minorEastAsia" w:hAnsiTheme="minorEastAsia" w:eastAsiaTheme="minorEastAsia"/>
              </w:rPr>
            </w:pPr>
          </w:p>
        </w:tc>
        <w:tc>
          <w:tcPr>
            <w:tcW w:w="810"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24" w:type="dxa"/>
            <w:vAlign w:val="center"/>
          </w:tcPr>
          <w:p>
            <w:pPr>
              <w:jc w:val="center"/>
              <w:rPr>
                <w:rFonts w:asciiTheme="minorEastAsia" w:hAnsiTheme="minorEastAsia"/>
                <w:sz w:val="24"/>
              </w:rPr>
            </w:pPr>
            <w:r>
              <w:rPr>
                <w:rFonts w:hint="eastAsia" w:asciiTheme="minorEastAsia" w:hAnsiTheme="minorEastAsia"/>
                <w:sz w:val="24"/>
              </w:rPr>
              <w:t>4</w:t>
            </w:r>
          </w:p>
        </w:tc>
        <w:tc>
          <w:tcPr>
            <w:tcW w:w="1916" w:type="dxa"/>
            <w:vAlign w:val="center"/>
          </w:tcPr>
          <w:p>
            <w:pPr>
              <w:jc w:val="center"/>
              <w:rPr>
                <w:rFonts w:ascii="宋体" w:hAnsi="宋体" w:eastAsia="宋体"/>
                <w:sz w:val="24"/>
              </w:rPr>
            </w:pPr>
            <w:r>
              <w:rPr>
                <w:rFonts w:hint="eastAsia" w:ascii="宋体" w:hAnsi="宋体" w:eastAsia="宋体"/>
                <w:sz w:val="24"/>
              </w:rPr>
              <w:t>免费质保期</w:t>
            </w:r>
          </w:p>
        </w:tc>
        <w:tc>
          <w:tcPr>
            <w:tcW w:w="2497" w:type="dxa"/>
            <w:vAlign w:val="center"/>
          </w:tcPr>
          <w:p>
            <w:pPr>
              <w:jc w:val="center"/>
              <w:rPr>
                <w:rFonts w:asciiTheme="minorEastAsia" w:hAnsiTheme="minorEastAsia"/>
                <w:sz w:val="24"/>
              </w:rPr>
            </w:pPr>
          </w:p>
        </w:tc>
        <w:tc>
          <w:tcPr>
            <w:tcW w:w="2575" w:type="dxa"/>
            <w:vAlign w:val="center"/>
          </w:tcPr>
          <w:p>
            <w:pPr>
              <w:jc w:val="center"/>
              <w:rPr>
                <w:rFonts w:asciiTheme="minorEastAsia" w:hAnsiTheme="minorEastAsia"/>
                <w:sz w:val="24"/>
              </w:rPr>
            </w:pPr>
          </w:p>
        </w:tc>
        <w:tc>
          <w:tcPr>
            <w:tcW w:w="810" w:type="dxa"/>
            <w:vAlign w:val="center"/>
          </w:tcPr>
          <w:p>
            <w:pPr>
              <w:jc w:val="center"/>
              <w:rPr>
                <w:rFonts w:asciiTheme="minorEastAsia" w:hAnsiTheme="minorEastAsia"/>
                <w:sz w:val="24"/>
              </w:rPr>
            </w:pPr>
          </w:p>
        </w:tc>
      </w:tr>
    </w:tbl>
    <w:p>
      <w:pPr>
        <w:tabs>
          <w:tab w:val="left" w:pos="630"/>
        </w:tabs>
        <w:spacing w:line="360" w:lineRule="auto"/>
        <w:jc w:val="left"/>
        <w:rPr>
          <w:rFonts w:ascii="宋体" w:hAnsi="宋体" w:eastAsia="宋体"/>
          <w:b/>
          <w:sz w:val="24"/>
        </w:rPr>
      </w:pPr>
      <w:r>
        <w:rPr>
          <w:rFonts w:hint="eastAsia" w:ascii="宋体" w:hAnsi="宋体" w:eastAsia="宋体"/>
          <w:b/>
          <w:sz w:val="24"/>
        </w:rPr>
        <w:t>5.2技术响应表</w:t>
      </w:r>
    </w:p>
    <w:tbl>
      <w:tblPr>
        <w:tblStyle w:val="1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560"/>
        <w:gridCol w:w="2863"/>
        <w:gridCol w:w="2482"/>
        <w:gridCol w:w="8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761"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序号</w:t>
            </w:r>
          </w:p>
        </w:tc>
        <w:tc>
          <w:tcPr>
            <w:tcW w:w="1560" w:type="dxa"/>
            <w:vAlign w:val="center"/>
          </w:tcPr>
          <w:p>
            <w:pPr>
              <w:pStyle w:val="6"/>
              <w:jc w:val="center"/>
              <w:rPr>
                <w:rFonts w:cs="Wingdings" w:asciiTheme="minorEastAsia" w:hAnsiTheme="minorEastAsia"/>
                <w:b/>
                <w:sz w:val="24"/>
              </w:rPr>
            </w:pPr>
            <w:r>
              <w:rPr>
                <w:rFonts w:hint="eastAsia" w:asciiTheme="minorEastAsia" w:hAnsiTheme="minorEastAsia"/>
                <w:b/>
                <w:bCs/>
                <w:sz w:val="24"/>
                <w:szCs w:val="24"/>
              </w:rPr>
              <w:t>货物名称</w:t>
            </w:r>
          </w:p>
        </w:tc>
        <w:tc>
          <w:tcPr>
            <w:tcW w:w="2863"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磋商文件规定的技术参数要求</w:t>
            </w:r>
          </w:p>
        </w:tc>
        <w:tc>
          <w:tcPr>
            <w:tcW w:w="2482"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所投产品的品牌、型号及技术参数</w:t>
            </w:r>
          </w:p>
        </w:tc>
        <w:tc>
          <w:tcPr>
            <w:tcW w:w="856" w:type="dxa"/>
            <w:vAlign w:val="center"/>
          </w:tcPr>
          <w:p>
            <w:pPr>
              <w:pStyle w:val="6"/>
              <w:jc w:val="center"/>
              <w:rPr>
                <w:rFonts w:cs="Wingdings" w:asciiTheme="minorEastAsia" w:hAnsiTheme="minorEastAsia"/>
                <w:b/>
                <w:sz w:val="24"/>
              </w:rPr>
            </w:pPr>
            <w:r>
              <w:rPr>
                <w:rFonts w:hint="eastAsia" w:cs="Wingdings" w:asciiTheme="minorEastAsia" w:hAnsiTheme="minorEastAsia"/>
                <w:b/>
                <w:sz w:val="24"/>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heme="minorEastAsia" w:hAnsiTheme="minorEastAsia"/>
                <w:sz w:val="24"/>
              </w:rPr>
            </w:pPr>
            <w:r>
              <w:rPr>
                <w:rFonts w:hint="eastAsia" w:asciiTheme="minorEastAsia" w:hAnsiTheme="minorEastAsia"/>
                <w:sz w:val="24"/>
              </w:rPr>
              <w:t>1</w:t>
            </w:r>
          </w:p>
        </w:tc>
        <w:tc>
          <w:tcPr>
            <w:tcW w:w="1560" w:type="dxa"/>
            <w:vAlign w:val="center"/>
          </w:tcPr>
          <w:p>
            <w:pPr>
              <w:jc w:val="center"/>
              <w:rPr>
                <w:rFonts w:asciiTheme="minorEastAsia" w:hAnsiTheme="minorEastAsia"/>
                <w:sz w:val="24"/>
              </w:rPr>
            </w:pPr>
          </w:p>
        </w:tc>
        <w:tc>
          <w:tcPr>
            <w:tcW w:w="2863" w:type="dxa"/>
            <w:vAlign w:val="center"/>
          </w:tcPr>
          <w:p>
            <w:pPr>
              <w:jc w:val="center"/>
              <w:rPr>
                <w:rFonts w:asciiTheme="minorEastAsia" w:hAnsiTheme="minorEastAsia"/>
                <w:sz w:val="24"/>
              </w:rPr>
            </w:pPr>
          </w:p>
        </w:tc>
        <w:tc>
          <w:tcPr>
            <w:tcW w:w="2482" w:type="dxa"/>
            <w:vAlign w:val="center"/>
          </w:tcPr>
          <w:p>
            <w:pPr>
              <w:jc w:val="center"/>
              <w:rPr>
                <w:rFonts w:asciiTheme="minorEastAsia" w:hAnsiTheme="minorEastAsia"/>
                <w:sz w:val="24"/>
              </w:rPr>
            </w:pPr>
          </w:p>
        </w:tc>
        <w:tc>
          <w:tcPr>
            <w:tcW w:w="856"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heme="minorEastAsia" w:hAnsiTheme="minorEastAsia"/>
                <w:sz w:val="24"/>
              </w:rPr>
            </w:pPr>
            <w:r>
              <w:rPr>
                <w:rFonts w:hint="eastAsia" w:asciiTheme="minorEastAsia" w:hAnsiTheme="minorEastAsia"/>
                <w:sz w:val="24"/>
              </w:rPr>
              <w:t>2</w:t>
            </w:r>
          </w:p>
        </w:tc>
        <w:tc>
          <w:tcPr>
            <w:tcW w:w="1560" w:type="dxa"/>
            <w:vAlign w:val="center"/>
          </w:tcPr>
          <w:p>
            <w:pPr>
              <w:jc w:val="center"/>
              <w:rPr>
                <w:rFonts w:asciiTheme="minorEastAsia" w:hAnsiTheme="minorEastAsia"/>
                <w:sz w:val="24"/>
              </w:rPr>
            </w:pPr>
          </w:p>
        </w:tc>
        <w:tc>
          <w:tcPr>
            <w:tcW w:w="2863" w:type="dxa"/>
            <w:vAlign w:val="center"/>
          </w:tcPr>
          <w:p>
            <w:pPr>
              <w:jc w:val="center"/>
              <w:rPr>
                <w:rFonts w:asciiTheme="minorEastAsia" w:hAnsiTheme="minorEastAsia"/>
                <w:sz w:val="24"/>
              </w:rPr>
            </w:pPr>
          </w:p>
        </w:tc>
        <w:tc>
          <w:tcPr>
            <w:tcW w:w="2482" w:type="dxa"/>
            <w:vAlign w:val="center"/>
          </w:tcPr>
          <w:p>
            <w:pPr>
              <w:jc w:val="center"/>
              <w:rPr>
                <w:rFonts w:asciiTheme="minorEastAsia" w:hAnsiTheme="minorEastAsia"/>
                <w:sz w:val="24"/>
              </w:rPr>
            </w:pPr>
          </w:p>
        </w:tc>
        <w:tc>
          <w:tcPr>
            <w:tcW w:w="856"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heme="minorEastAsia" w:hAnsiTheme="minorEastAsia"/>
                <w:sz w:val="24"/>
              </w:rPr>
            </w:pPr>
            <w:r>
              <w:rPr>
                <w:rFonts w:hint="eastAsia" w:asciiTheme="minorEastAsia" w:hAnsiTheme="minorEastAsia"/>
                <w:sz w:val="24"/>
              </w:rPr>
              <w:t>3</w:t>
            </w:r>
          </w:p>
        </w:tc>
        <w:tc>
          <w:tcPr>
            <w:tcW w:w="1560" w:type="dxa"/>
            <w:vAlign w:val="center"/>
          </w:tcPr>
          <w:p>
            <w:pPr>
              <w:jc w:val="center"/>
              <w:rPr>
                <w:rFonts w:asciiTheme="minorEastAsia" w:hAnsiTheme="minorEastAsia"/>
                <w:sz w:val="24"/>
              </w:rPr>
            </w:pPr>
          </w:p>
        </w:tc>
        <w:tc>
          <w:tcPr>
            <w:tcW w:w="2863" w:type="dxa"/>
            <w:vAlign w:val="center"/>
          </w:tcPr>
          <w:p>
            <w:pPr>
              <w:jc w:val="center"/>
              <w:rPr>
                <w:rFonts w:asciiTheme="minorEastAsia" w:hAnsiTheme="minorEastAsia"/>
                <w:sz w:val="24"/>
              </w:rPr>
            </w:pPr>
          </w:p>
        </w:tc>
        <w:tc>
          <w:tcPr>
            <w:tcW w:w="2482" w:type="dxa"/>
            <w:vAlign w:val="center"/>
          </w:tcPr>
          <w:p>
            <w:pPr>
              <w:pStyle w:val="23"/>
              <w:jc w:val="center"/>
              <w:rPr>
                <w:rFonts w:asciiTheme="minorEastAsia" w:hAnsiTheme="minorEastAsia" w:eastAsiaTheme="minorEastAsia"/>
              </w:rPr>
            </w:pPr>
          </w:p>
        </w:tc>
        <w:tc>
          <w:tcPr>
            <w:tcW w:w="856"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heme="minorEastAsia" w:hAnsiTheme="minorEastAsia"/>
                <w:sz w:val="24"/>
              </w:rPr>
            </w:pPr>
            <w:r>
              <w:rPr>
                <w:rFonts w:hint="eastAsia" w:asciiTheme="minorEastAsia" w:hAnsiTheme="minorEastAsia"/>
                <w:sz w:val="24"/>
              </w:rPr>
              <w:t>4</w:t>
            </w:r>
          </w:p>
        </w:tc>
        <w:tc>
          <w:tcPr>
            <w:tcW w:w="1560" w:type="dxa"/>
            <w:vAlign w:val="center"/>
          </w:tcPr>
          <w:p>
            <w:pPr>
              <w:jc w:val="center"/>
              <w:rPr>
                <w:rFonts w:asciiTheme="minorEastAsia" w:hAnsiTheme="minorEastAsia"/>
                <w:sz w:val="24"/>
              </w:rPr>
            </w:pPr>
          </w:p>
        </w:tc>
        <w:tc>
          <w:tcPr>
            <w:tcW w:w="2863" w:type="dxa"/>
            <w:vAlign w:val="center"/>
          </w:tcPr>
          <w:p>
            <w:pPr>
              <w:jc w:val="center"/>
              <w:rPr>
                <w:rFonts w:asciiTheme="minorEastAsia" w:hAnsiTheme="minorEastAsia"/>
                <w:sz w:val="24"/>
              </w:rPr>
            </w:pPr>
          </w:p>
        </w:tc>
        <w:tc>
          <w:tcPr>
            <w:tcW w:w="2482" w:type="dxa"/>
            <w:vAlign w:val="center"/>
          </w:tcPr>
          <w:p>
            <w:pPr>
              <w:pStyle w:val="23"/>
              <w:jc w:val="center"/>
              <w:rPr>
                <w:rFonts w:asciiTheme="minorEastAsia" w:hAnsiTheme="minorEastAsia" w:eastAsiaTheme="minorEastAsia"/>
              </w:rPr>
            </w:pPr>
          </w:p>
        </w:tc>
        <w:tc>
          <w:tcPr>
            <w:tcW w:w="856" w:type="dxa"/>
            <w:vAlign w:val="center"/>
          </w:tcPr>
          <w:p>
            <w:pPr>
              <w:jc w:val="center"/>
              <w:rPr>
                <w:rFonts w:asciiTheme="minorEastAsia" w:hAnsiTheme="minor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761" w:type="dxa"/>
            <w:vAlign w:val="center"/>
          </w:tcPr>
          <w:p>
            <w:pPr>
              <w:jc w:val="center"/>
              <w:rPr>
                <w:rFonts w:asciiTheme="minorEastAsia" w:hAnsiTheme="minorEastAsia"/>
                <w:sz w:val="24"/>
              </w:rPr>
            </w:pPr>
            <w:r>
              <w:rPr>
                <w:rFonts w:hint="eastAsia" w:asciiTheme="minorEastAsia" w:hAnsiTheme="minorEastAsia"/>
                <w:sz w:val="24"/>
              </w:rPr>
              <w:t>…</w:t>
            </w:r>
          </w:p>
        </w:tc>
        <w:tc>
          <w:tcPr>
            <w:tcW w:w="1560" w:type="dxa"/>
            <w:vAlign w:val="center"/>
          </w:tcPr>
          <w:p>
            <w:pPr>
              <w:jc w:val="center"/>
              <w:rPr>
                <w:rFonts w:asciiTheme="minorEastAsia" w:hAnsiTheme="minorEastAsia"/>
                <w:sz w:val="24"/>
              </w:rPr>
            </w:pPr>
          </w:p>
        </w:tc>
        <w:tc>
          <w:tcPr>
            <w:tcW w:w="2863" w:type="dxa"/>
            <w:vAlign w:val="center"/>
          </w:tcPr>
          <w:p>
            <w:pPr>
              <w:jc w:val="center"/>
              <w:rPr>
                <w:rFonts w:asciiTheme="minorEastAsia" w:hAnsiTheme="minorEastAsia"/>
                <w:sz w:val="24"/>
              </w:rPr>
            </w:pPr>
          </w:p>
        </w:tc>
        <w:tc>
          <w:tcPr>
            <w:tcW w:w="2482" w:type="dxa"/>
            <w:vAlign w:val="center"/>
          </w:tcPr>
          <w:p>
            <w:pPr>
              <w:jc w:val="center"/>
              <w:rPr>
                <w:rFonts w:asciiTheme="minorEastAsia" w:hAnsiTheme="minorEastAsia"/>
                <w:sz w:val="24"/>
              </w:rPr>
            </w:pPr>
          </w:p>
        </w:tc>
        <w:tc>
          <w:tcPr>
            <w:tcW w:w="856" w:type="dxa"/>
            <w:vAlign w:val="center"/>
          </w:tcPr>
          <w:p>
            <w:pPr>
              <w:jc w:val="center"/>
              <w:rPr>
                <w:rFonts w:asciiTheme="minorEastAsia" w:hAnsiTheme="minorEastAsia"/>
                <w:sz w:val="24"/>
              </w:rPr>
            </w:pPr>
          </w:p>
        </w:tc>
      </w:tr>
    </w:tbl>
    <w:p>
      <w:pPr>
        <w:tabs>
          <w:tab w:val="left" w:pos="630"/>
        </w:tabs>
        <w:spacing w:line="360" w:lineRule="auto"/>
        <w:jc w:val="left"/>
        <w:rPr>
          <w:rFonts w:ascii="宋体" w:hAnsi="宋体" w:eastAsia="宋体"/>
          <w:b/>
          <w:sz w:val="24"/>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六、</w:t>
      </w:r>
      <w:r>
        <w:rPr>
          <w:rFonts w:hint="eastAsia" w:asciiTheme="minorEastAsia" w:hAnsiTheme="minorEastAsia"/>
          <w:b/>
          <w:sz w:val="24"/>
        </w:rPr>
        <w:t>供货安装（调试）方案</w:t>
      </w:r>
    </w:p>
    <w:p>
      <w:pPr>
        <w:tabs>
          <w:tab w:val="left" w:pos="630"/>
        </w:tabs>
        <w:spacing w:line="360" w:lineRule="auto"/>
        <w:jc w:val="center"/>
        <w:rPr>
          <w:rFonts w:ascii="宋体" w:hAnsi="宋体" w:eastAsia="宋体"/>
          <w:i/>
          <w:sz w:val="24"/>
        </w:rPr>
      </w:pPr>
      <w:r>
        <w:rPr>
          <w:rFonts w:ascii="宋体" w:hAnsi="宋体" w:eastAsia="宋体"/>
          <w:i/>
          <w:sz w:val="24"/>
        </w:rPr>
        <w:t>(</w:t>
      </w:r>
      <w:r>
        <w:rPr>
          <w:rFonts w:hint="eastAsia" w:ascii="宋体" w:hAnsi="宋体" w:eastAsia="宋体"/>
          <w:i/>
          <w:sz w:val="24"/>
        </w:rPr>
        <w:t>供应商</w:t>
      </w:r>
      <w:r>
        <w:rPr>
          <w:rFonts w:ascii="宋体" w:hAnsi="宋体" w:eastAsia="宋体"/>
          <w:i/>
          <w:sz w:val="24"/>
        </w:rPr>
        <w:t>可自行制作格式)</w:t>
      </w: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p>
    <w:p>
      <w:pPr>
        <w:tabs>
          <w:tab w:val="left" w:pos="630"/>
        </w:tabs>
        <w:spacing w:line="360" w:lineRule="auto"/>
        <w:jc w:val="center"/>
        <w:rPr>
          <w:rFonts w:ascii="宋体" w:hAnsi="宋体" w:eastAsia="宋体"/>
          <w:i/>
          <w:sz w:val="24"/>
        </w:rPr>
      </w:pPr>
      <w:r>
        <w:rPr>
          <w:rFonts w:hint="eastAsia" w:ascii="宋体" w:hAnsi="宋体" w:eastAsia="宋体"/>
          <w:b/>
          <w:sz w:val="28"/>
          <w:szCs w:val="28"/>
        </w:rPr>
        <w:t>七、</w:t>
      </w:r>
      <w:r>
        <w:rPr>
          <w:rFonts w:hint="eastAsia" w:asciiTheme="minorEastAsia" w:hAnsiTheme="minorEastAsia"/>
          <w:b/>
          <w:sz w:val="24"/>
        </w:rPr>
        <w:t>售后服务与维保方案</w:t>
      </w:r>
    </w:p>
    <w:p>
      <w:pPr>
        <w:tabs>
          <w:tab w:val="left" w:pos="630"/>
        </w:tabs>
        <w:spacing w:line="360" w:lineRule="auto"/>
        <w:jc w:val="center"/>
        <w:rPr>
          <w:rFonts w:ascii="宋体" w:hAnsi="宋体" w:eastAsia="宋体"/>
          <w:i/>
          <w:sz w:val="24"/>
        </w:rPr>
      </w:pPr>
      <w:r>
        <w:rPr>
          <w:rFonts w:ascii="宋体" w:hAnsi="宋体" w:eastAsia="宋体"/>
          <w:i/>
          <w:sz w:val="24"/>
        </w:rPr>
        <w:t>(</w:t>
      </w:r>
      <w:r>
        <w:rPr>
          <w:rFonts w:hint="eastAsia" w:ascii="宋体" w:hAnsi="宋体" w:eastAsia="宋体"/>
          <w:i/>
          <w:sz w:val="24"/>
        </w:rPr>
        <w:t>供应商</w:t>
      </w:r>
      <w:r>
        <w:rPr>
          <w:rFonts w:ascii="宋体" w:hAnsi="宋体" w:eastAsia="宋体"/>
          <w:i/>
          <w:sz w:val="24"/>
        </w:rPr>
        <w:t>可自行制作格式)</w:t>
      </w:r>
    </w:p>
    <w:p>
      <w:pPr>
        <w:tabs>
          <w:tab w:val="left" w:pos="630"/>
        </w:tabs>
        <w:spacing w:line="360" w:lineRule="auto"/>
        <w:jc w:val="center"/>
        <w:rPr>
          <w:rFonts w:ascii="宋体" w:hAnsi="宋体" w:eastAsia="宋体"/>
          <w:b/>
          <w:sz w:val="28"/>
          <w:szCs w:val="28"/>
        </w:rPr>
      </w:pPr>
      <w:r>
        <w:rPr>
          <w:rFonts w:ascii="宋体" w:hAnsi="宋体" w:eastAsia="宋体"/>
          <w:sz w:val="24"/>
        </w:rPr>
        <w:br w:type="page"/>
      </w:r>
      <w:r>
        <w:rPr>
          <w:rFonts w:hint="eastAsia" w:ascii="宋体" w:hAnsi="宋体" w:eastAsia="宋体"/>
          <w:b/>
          <w:sz w:val="28"/>
          <w:szCs w:val="28"/>
        </w:rPr>
        <w:t>八、投标业绩承诺函</w:t>
      </w: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80" w:firstLineChars="200"/>
        <w:rPr>
          <w:rFonts w:ascii="宋体" w:hAnsi="宋体" w:eastAsia="宋体"/>
          <w:sz w:val="24"/>
        </w:rPr>
      </w:pPr>
      <w:r>
        <w:rPr>
          <w:rFonts w:hint="eastAsia" w:ascii="宋体" w:hAnsi="宋体" w:eastAsia="宋体"/>
          <w:sz w:val="24"/>
        </w:rPr>
        <w:t>我单位</w:t>
      </w:r>
      <w:r>
        <w:rPr>
          <w:rFonts w:hint="eastAsia" w:ascii="宋体" w:hAnsi="宋体" w:eastAsia="宋体"/>
          <w:color w:val="000000"/>
          <w:sz w:val="24"/>
        </w:rPr>
        <w:t>同意评审结果公告中</w:t>
      </w:r>
      <w:r>
        <w:rPr>
          <w:rFonts w:hint="eastAsia" w:ascii="宋体" w:hAnsi="宋体" w:eastAsia="宋体"/>
          <w:sz w:val="24"/>
        </w:rPr>
        <w:t>公示以下业绩并承诺：所提供的业绩均真实有效，若被发现存在任何虚假、隐瞒情况，我单位承担由此产生的一切后果。</w:t>
      </w:r>
    </w:p>
    <w:p>
      <w:pPr>
        <w:tabs>
          <w:tab w:val="left" w:pos="630"/>
        </w:tabs>
        <w:spacing w:line="360" w:lineRule="auto"/>
        <w:ind w:firstLine="4228" w:firstLineChars="1762"/>
        <w:rPr>
          <w:rFonts w:ascii="宋体" w:hAnsi="宋体" w:eastAsia="宋体"/>
          <w:sz w:val="24"/>
        </w:rPr>
      </w:pP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供应商签章：</w:t>
      </w:r>
    </w:p>
    <w:p>
      <w:pPr>
        <w:tabs>
          <w:tab w:val="left" w:pos="630"/>
        </w:tabs>
        <w:spacing w:line="360" w:lineRule="auto"/>
        <w:ind w:firstLine="4228" w:firstLineChars="1762"/>
        <w:rPr>
          <w:rFonts w:ascii="宋体" w:hAnsi="宋体" w:eastAsia="宋体"/>
          <w:sz w:val="24"/>
          <w:u w:val="single"/>
        </w:rPr>
      </w:pPr>
      <w:r>
        <w:rPr>
          <w:rFonts w:hint="eastAsia" w:ascii="宋体" w:hAnsi="宋体" w:eastAsia="宋体"/>
          <w:sz w:val="24"/>
        </w:rPr>
        <w:t>日      期：</w:t>
      </w:r>
    </w:p>
    <w:p>
      <w:pPr>
        <w:tabs>
          <w:tab w:val="left" w:pos="630"/>
        </w:tabs>
        <w:spacing w:line="360" w:lineRule="auto"/>
        <w:ind w:firstLine="3700" w:firstLineChars="1762"/>
        <w:rPr>
          <w:rFonts w:ascii="宋体" w:hAnsi="宋体" w:eastAsia="宋体"/>
        </w:rPr>
      </w:pPr>
    </w:p>
    <w:tbl>
      <w:tblPr>
        <w:tblStyle w:val="1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0"/>
        <w:gridCol w:w="4106"/>
        <w:gridCol w:w="2528"/>
        <w:gridCol w:w="9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序号</w:t>
            </w:r>
          </w:p>
        </w:tc>
        <w:tc>
          <w:tcPr>
            <w:tcW w:w="2409" w:type="pct"/>
            <w:vAlign w:val="center"/>
          </w:tcPr>
          <w:p>
            <w:pPr>
              <w:spacing w:line="360" w:lineRule="auto"/>
              <w:rPr>
                <w:rFonts w:ascii="宋体" w:hAnsi="宋体" w:eastAsia="宋体"/>
                <w:sz w:val="24"/>
              </w:rPr>
            </w:pPr>
            <w:r>
              <w:rPr>
                <w:rFonts w:hint="eastAsia" w:ascii="宋体" w:hAnsi="宋体" w:eastAsia="宋体"/>
                <w:sz w:val="24"/>
              </w:rPr>
              <w:t>项目名称</w:t>
            </w:r>
          </w:p>
        </w:tc>
        <w:tc>
          <w:tcPr>
            <w:tcW w:w="1483" w:type="pct"/>
            <w:vAlign w:val="center"/>
          </w:tcPr>
          <w:p>
            <w:pPr>
              <w:widowControl/>
              <w:spacing w:line="360" w:lineRule="auto"/>
              <w:rPr>
                <w:rFonts w:ascii="宋体" w:hAnsi="宋体" w:eastAsia="宋体"/>
                <w:sz w:val="24"/>
              </w:rPr>
            </w:pPr>
            <w:r>
              <w:rPr>
                <w:rFonts w:hint="eastAsia" w:ascii="宋体" w:hAnsi="宋体" w:eastAsia="宋体"/>
                <w:sz w:val="24"/>
              </w:rPr>
              <w:t>供货范围</w:t>
            </w:r>
          </w:p>
        </w:tc>
        <w:tc>
          <w:tcPr>
            <w:tcW w:w="556" w:type="pct"/>
            <w:vAlign w:val="center"/>
          </w:tcPr>
          <w:p>
            <w:pPr>
              <w:spacing w:line="360" w:lineRule="auto"/>
              <w:rPr>
                <w:rFonts w:ascii="宋体" w:hAnsi="宋体" w:eastAsia="宋体"/>
                <w:sz w:val="24"/>
              </w:rPr>
            </w:pPr>
            <w:r>
              <w:rPr>
                <w:rFonts w:hint="eastAsia" w:ascii="宋体" w:hAnsi="宋体" w:eastAsia="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1</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2</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3</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4</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5</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52" w:type="pct"/>
            <w:vAlign w:val="center"/>
          </w:tcPr>
          <w:p>
            <w:pPr>
              <w:spacing w:line="360" w:lineRule="auto"/>
              <w:rPr>
                <w:rFonts w:ascii="宋体" w:hAnsi="宋体" w:eastAsia="宋体"/>
                <w:sz w:val="24"/>
              </w:rPr>
            </w:pPr>
            <w:r>
              <w:rPr>
                <w:rFonts w:hint="eastAsia" w:ascii="宋体" w:hAnsi="宋体" w:eastAsia="宋体"/>
                <w:sz w:val="24"/>
              </w:rPr>
              <w:t>……</w:t>
            </w:r>
          </w:p>
        </w:tc>
        <w:tc>
          <w:tcPr>
            <w:tcW w:w="2409" w:type="pct"/>
            <w:vAlign w:val="center"/>
          </w:tcPr>
          <w:p>
            <w:pPr>
              <w:spacing w:line="360" w:lineRule="auto"/>
              <w:rPr>
                <w:rFonts w:ascii="宋体" w:hAnsi="宋体" w:eastAsia="宋体"/>
                <w:sz w:val="24"/>
              </w:rPr>
            </w:pPr>
          </w:p>
        </w:tc>
        <w:tc>
          <w:tcPr>
            <w:tcW w:w="1483" w:type="pct"/>
            <w:vAlign w:val="center"/>
          </w:tcPr>
          <w:p>
            <w:pPr>
              <w:spacing w:line="360" w:lineRule="auto"/>
              <w:rPr>
                <w:rFonts w:ascii="宋体" w:hAnsi="宋体" w:eastAsia="宋体"/>
                <w:sz w:val="24"/>
              </w:rPr>
            </w:pPr>
          </w:p>
        </w:tc>
        <w:tc>
          <w:tcPr>
            <w:tcW w:w="556" w:type="pct"/>
            <w:vAlign w:val="center"/>
          </w:tcPr>
          <w:p>
            <w:pPr>
              <w:spacing w:line="360" w:lineRule="auto"/>
              <w:rPr>
                <w:rFonts w:ascii="宋体" w:hAnsi="宋体" w:eastAsia="宋体"/>
                <w:sz w:val="24"/>
              </w:rPr>
            </w:pPr>
          </w:p>
        </w:tc>
      </w:tr>
    </w:tbl>
    <w:p>
      <w:pPr>
        <w:tabs>
          <w:tab w:val="left" w:pos="3392"/>
        </w:tabs>
        <w:spacing w:line="360" w:lineRule="auto"/>
        <w:rPr>
          <w:rFonts w:ascii="宋体" w:hAnsi="宋体" w:eastAsia="宋体"/>
          <w:b/>
          <w:bCs/>
          <w:sz w:val="24"/>
          <w:szCs w:val="28"/>
        </w:rPr>
      </w:pPr>
    </w:p>
    <w:p>
      <w:pPr>
        <w:tabs>
          <w:tab w:val="left" w:pos="3392"/>
        </w:tabs>
        <w:spacing w:line="360" w:lineRule="auto"/>
        <w:rPr>
          <w:rFonts w:ascii="宋体" w:hAnsi="宋体" w:eastAsia="宋体"/>
          <w:b/>
          <w:bCs/>
          <w:sz w:val="24"/>
          <w:szCs w:val="28"/>
        </w:rPr>
      </w:pPr>
      <w:r>
        <w:rPr>
          <w:rFonts w:hint="eastAsia" w:ascii="宋体" w:hAnsi="宋体" w:eastAsia="宋体"/>
          <w:b/>
          <w:bCs/>
          <w:sz w:val="24"/>
          <w:szCs w:val="28"/>
        </w:rPr>
        <w:t>备注：</w:t>
      </w:r>
    </w:p>
    <w:p>
      <w:pPr>
        <w:tabs>
          <w:tab w:val="left" w:pos="3392"/>
        </w:tabs>
        <w:spacing w:line="360" w:lineRule="auto"/>
        <w:rPr>
          <w:rFonts w:ascii="宋体" w:hAnsi="宋体" w:eastAsia="宋体"/>
          <w:sz w:val="24"/>
        </w:rPr>
      </w:pPr>
      <w:r>
        <w:rPr>
          <w:rFonts w:hint="eastAsia" w:ascii="宋体" w:hAnsi="宋体" w:eastAsia="宋体"/>
          <w:sz w:val="24"/>
        </w:rPr>
        <w:t>1.表中所列业绩应为供应商满足招标文件要求的业绩；</w:t>
      </w:r>
    </w:p>
    <w:p>
      <w:pPr>
        <w:tabs>
          <w:tab w:val="left" w:pos="3392"/>
        </w:tabs>
        <w:spacing w:line="360" w:lineRule="auto"/>
        <w:rPr>
          <w:rFonts w:ascii="宋体" w:hAnsi="宋体" w:eastAsia="宋体"/>
          <w:sz w:val="24"/>
        </w:rPr>
      </w:pPr>
      <w:r>
        <w:rPr>
          <w:rFonts w:hint="eastAsia" w:ascii="宋体" w:hAnsi="宋体" w:eastAsia="宋体"/>
          <w:sz w:val="24"/>
        </w:rPr>
        <w:t>2.成交供应商提供的以上业绩情况，如招标文件有约定的，将按约定随评审结果公告。</w:t>
      </w:r>
    </w:p>
    <w:p>
      <w:pPr>
        <w:spacing w:line="360" w:lineRule="auto"/>
        <w:rPr>
          <w:rFonts w:ascii="宋体" w:hAnsi="宋体" w:eastAsia="宋体"/>
        </w:rPr>
      </w:pPr>
    </w:p>
    <w:p>
      <w:pPr>
        <w:widowControl/>
        <w:jc w:val="left"/>
        <w:rPr>
          <w:rFonts w:ascii="宋体" w:hAnsi="宋体" w:eastAsia="宋体"/>
          <w:b/>
          <w:sz w:val="28"/>
          <w:szCs w:val="28"/>
        </w:rPr>
      </w:pPr>
      <w:r>
        <w:rPr>
          <w:rFonts w:ascii="宋体" w:hAnsi="宋体" w:eastAsia="宋体"/>
          <w:b/>
          <w:sz w:val="28"/>
          <w:szCs w:val="28"/>
        </w:rPr>
        <w:br w:type="page"/>
      </w:r>
    </w:p>
    <w:p>
      <w:pPr>
        <w:tabs>
          <w:tab w:val="left" w:pos="630"/>
        </w:tabs>
        <w:spacing w:line="360" w:lineRule="auto"/>
        <w:jc w:val="center"/>
        <w:rPr>
          <w:rFonts w:ascii="宋体" w:hAnsi="宋体" w:eastAsia="宋体"/>
          <w:b/>
          <w:sz w:val="28"/>
          <w:szCs w:val="28"/>
        </w:rPr>
      </w:pPr>
      <w:r>
        <w:rPr>
          <w:rFonts w:hint="eastAsia" w:ascii="宋体" w:hAnsi="宋体" w:eastAsia="宋体"/>
          <w:b/>
          <w:sz w:val="28"/>
          <w:szCs w:val="28"/>
        </w:rPr>
        <w:t>九、其他文件</w:t>
      </w:r>
    </w:p>
    <w:p>
      <w:pPr>
        <w:tabs>
          <w:tab w:val="left" w:pos="630"/>
        </w:tabs>
        <w:spacing w:line="360" w:lineRule="auto"/>
        <w:ind w:firstLine="480" w:firstLineChars="200"/>
        <w:jc w:val="left"/>
        <w:rPr>
          <w:rFonts w:ascii="宋体" w:hAnsi="宋体" w:eastAsia="宋体"/>
          <w:sz w:val="24"/>
        </w:rPr>
      </w:pPr>
      <w:r>
        <w:rPr>
          <w:rFonts w:hint="eastAsia" w:ascii="宋体" w:hAnsi="宋体" w:eastAsia="宋体"/>
          <w:sz w:val="24"/>
        </w:rPr>
        <w:t>提供符合招标邀请、采购需求及评审方法和标准规定的相关证明文件。</w:t>
      </w:r>
    </w:p>
    <w:p>
      <w:pPr>
        <w:tabs>
          <w:tab w:val="left" w:pos="630"/>
        </w:tabs>
        <w:spacing w:line="360" w:lineRule="auto"/>
        <w:jc w:val="left"/>
        <w:rPr>
          <w:rFonts w:ascii="宋体" w:hAnsi="宋体" w:eastAsia="宋体"/>
          <w:b/>
          <w:sz w:val="24"/>
        </w:rPr>
      </w:pPr>
      <w:r>
        <w:rPr>
          <w:rFonts w:hint="eastAsia" w:ascii="宋体" w:hAnsi="宋体" w:eastAsia="宋体"/>
          <w:b/>
          <w:sz w:val="24"/>
        </w:rPr>
        <w:t xml:space="preserve">特别提示： </w:t>
      </w:r>
    </w:p>
    <w:p>
      <w:pPr>
        <w:tabs>
          <w:tab w:val="left" w:pos="630"/>
        </w:tabs>
        <w:spacing w:line="360" w:lineRule="auto"/>
        <w:ind w:firstLine="480" w:firstLineChars="200"/>
        <w:jc w:val="left"/>
        <w:rPr>
          <w:rFonts w:ascii="宋体" w:hAnsi="宋体" w:eastAsia="宋体"/>
          <w:sz w:val="24"/>
        </w:rPr>
      </w:pPr>
      <w:r>
        <w:rPr>
          <w:rFonts w:hint="eastAsia" w:ascii="宋体" w:hAnsi="宋体" w:eastAsia="宋体"/>
          <w:sz w:val="24"/>
        </w:rPr>
        <w:t>供应商在响应文件制作时可在此栏内上传招标文件要求上传的证明资料，如营业执照、税务登记证、人员证书、资质证书、荣誉奖项等，应将上述证明材料制作成扫描件上传。</w:t>
      </w:r>
      <w:r>
        <w:rPr>
          <w:rFonts w:ascii="宋体" w:hAnsi="宋体" w:eastAsia="宋体"/>
          <w:sz w:val="24"/>
        </w:rPr>
        <w:cr/>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6A5369"/>
    <w:multiLevelType w:val="multilevel"/>
    <w:tmpl w:val="696A5369"/>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JiNWNkOTViOWE3YWI0M2Y3Y2EzYmM2NjFiYmVkOGMifQ=="/>
  </w:docVars>
  <w:rsids>
    <w:rsidRoot w:val="0EBA4425"/>
    <w:rsid w:val="0000562B"/>
    <w:rsid w:val="00015127"/>
    <w:rsid w:val="00023061"/>
    <w:rsid w:val="0003583D"/>
    <w:rsid w:val="000360DF"/>
    <w:rsid w:val="000364BB"/>
    <w:rsid w:val="00041E18"/>
    <w:rsid w:val="00043C75"/>
    <w:rsid w:val="000477E1"/>
    <w:rsid w:val="0005463D"/>
    <w:rsid w:val="00055A80"/>
    <w:rsid w:val="00062CFF"/>
    <w:rsid w:val="0006480D"/>
    <w:rsid w:val="00065B94"/>
    <w:rsid w:val="00075049"/>
    <w:rsid w:val="0007523C"/>
    <w:rsid w:val="00077CB5"/>
    <w:rsid w:val="000838C1"/>
    <w:rsid w:val="000941AD"/>
    <w:rsid w:val="000943FB"/>
    <w:rsid w:val="00095DDA"/>
    <w:rsid w:val="00097641"/>
    <w:rsid w:val="000A205E"/>
    <w:rsid w:val="000B295A"/>
    <w:rsid w:val="000C0504"/>
    <w:rsid w:val="000C4F99"/>
    <w:rsid w:val="000C51D5"/>
    <w:rsid w:val="000D3F81"/>
    <w:rsid w:val="000D5CEB"/>
    <w:rsid w:val="000D649E"/>
    <w:rsid w:val="000D72F2"/>
    <w:rsid w:val="000E217A"/>
    <w:rsid w:val="000E3CBF"/>
    <w:rsid w:val="000E53EA"/>
    <w:rsid w:val="000F04D0"/>
    <w:rsid w:val="000F343A"/>
    <w:rsid w:val="001020B8"/>
    <w:rsid w:val="00104AC4"/>
    <w:rsid w:val="00112919"/>
    <w:rsid w:val="001312AB"/>
    <w:rsid w:val="00136F98"/>
    <w:rsid w:val="00140F04"/>
    <w:rsid w:val="001415CC"/>
    <w:rsid w:val="00144EE6"/>
    <w:rsid w:val="001542D4"/>
    <w:rsid w:val="00155BFE"/>
    <w:rsid w:val="00162AD4"/>
    <w:rsid w:val="00163BA6"/>
    <w:rsid w:val="00167BA1"/>
    <w:rsid w:val="00172913"/>
    <w:rsid w:val="00177C35"/>
    <w:rsid w:val="00181EDD"/>
    <w:rsid w:val="0019143A"/>
    <w:rsid w:val="00194535"/>
    <w:rsid w:val="001B00A5"/>
    <w:rsid w:val="001B0C6F"/>
    <w:rsid w:val="001B19D8"/>
    <w:rsid w:val="001C5C90"/>
    <w:rsid w:val="001C6314"/>
    <w:rsid w:val="001D4C97"/>
    <w:rsid w:val="001E4386"/>
    <w:rsid w:val="001E546C"/>
    <w:rsid w:val="001E7BC3"/>
    <w:rsid w:val="001F6F61"/>
    <w:rsid w:val="00200141"/>
    <w:rsid w:val="00202DD7"/>
    <w:rsid w:val="002071E4"/>
    <w:rsid w:val="002102CF"/>
    <w:rsid w:val="00211437"/>
    <w:rsid w:val="00222556"/>
    <w:rsid w:val="002234D5"/>
    <w:rsid w:val="00253FE6"/>
    <w:rsid w:val="0026524E"/>
    <w:rsid w:val="002809D9"/>
    <w:rsid w:val="0028339C"/>
    <w:rsid w:val="00285980"/>
    <w:rsid w:val="00292F52"/>
    <w:rsid w:val="00293273"/>
    <w:rsid w:val="0029402B"/>
    <w:rsid w:val="00294E16"/>
    <w:rsid w:val="002A47C8"/>
    <w:rsid w:val="002A5895"/>
    <w:rsid w:val="002B347C"/>
    <w:rsid w:val="002C096E"/>
    <w:rsid w:val="002C4426"/>
    <w:rsid w:val="002E0146"/>
    <w:rsid w:val="002E5582"/>
    <w:rsid w:val="002E5803"/>
    <w:rsid w:val="00316166"/>
    <w:rsid w:val="003279F4"/>
    <w:rsid w:val="00331380"/>
    <w:rsid w:val="003410CE"/>
    <w:rsid w:val="003709A0"/>
    <w:rsid w:val="003714F6"/>
    <w:rsid w:val="00384517"/>
    <w:rsid w:val="003B2397"/>
    <w:rsid w:val="003B4EE0"/>
    <w:rsid w:val="003B6AC3"/>
    <w:rsid w:val="003C356E"/>
    <w:rsid w:val="003C6E84"/>
    <w:rsid w:val="003E18A6"/>
    <w:rsid w:val="003F115C"/>
    <w:rsid w:val="003F5777"/>
    <w:rsid w:val="00400122"/>
    <w:rsid w:val="00401B87"/>
    <w:rsid w:val="00414E24"/>
    <w:rsid w:val="00433DA7"/>
    <w:rsid w:val="00437E3D"/>
    <w:rsid w:val="00443751"/>
    <w:rsid w:val="00452D80"/>
    <w:rsid w:val="00456C14"/>
    <w:rsid w:val="00461615"/>
    <w:rsid w:val="0046408E"/>
    <w:rsid w:val="004743D0"/>
    <w:rsid w:val="004824E9"/>
    <w:rsid w:val="00495EED"/>
    <w:rsid w:val="00497562"/>
    <w:rsid w:val="004A7141"/>
    <w:rsid w:val="004B0422"/>
    <w:rsid w:val="004B0E0B"/>
    <w:rsid w:val="004B7549"/>
    <w:rsid w:val="004B7F91"/>
    <w:rsid w:val="004C2063"/>
    <w:rsid w:val="004C244E"/>
    <w:rsid w:val="004C2B59"/>
    <w:rsid w:val="004D0156"/>
    <w:rsid w:val="004D02F6"/>
    <w:rsid w:val="004D74ED"/>
    <w:rsid w:val="004E12B9"/>
    <w:rsid w:val="004E256B"/>
    <w:rsid w:val="00503586"/>
    <w:rsid w:val="00504258"/>
    <w:rsid w:val="0050488D"/>
    <w:rsid w:val="005055DE"/>
    <w:rsid w:val="005246BD"/>
    <w:rsid w:val="00524E05"/>
    <w:rsid w:val="00525E51"/>
    <w:rsid w:val="00526A86"/>
    <w:rsid w:val="00530FFD"/>
    <w:rsid w:val="005343D0"/>
    <w:rsid w:val="00537CE6"/>
    <w:rsid w:val="005408E1"/>
    <w:rsid w:val="00546369"/>
    <w:rsid w:val="00551869"/>
    <w:rsid w:val="00556AE7"/>
    <w:rsid w:val="00567182"/>
    <w:rsid w:val="00574C43"/>
    <w:rsid w:val="00577CCC"/>
    <w:rsid w:val="00590C80"/>
    <w:rsid w:val="0059471B"/>
    <w:rsid w:val="005A064E"/>
    <w:rsid w:val="005A2446"/>
    <w:rsid w:val="005A3143"/>
    <w:rsid w:val="005A61DE"/>
    <w:rsid w:val="005E10FA"/>
    <w:rsid w:val="005F2507"/>
    <w:rsid w:val="005F6C4B"/>
    <w:rsid w:val="00633538"/>
    <w:rsid w:val="006353BD"/>
    <w:rsid w:val="006409A4"/>
    <w:rsid w:val="0064312B"/>
    <w:rsid w:val="00645FBD"/>
    <w:rsid w:val="00647F0C"/>
    <w:rsid w:val="00653DA1"/>
    <w:rsid w:val="00657073"/>
    <w:rsid w:val="00670CC9"/>
    <w:rsid w:val="006712CA"/>
    <w:rsid w:val="00674386"/>
    <w:rsid w:val="006A22E3"/>
    <w:rsid w:val="006A4EE5"/>
    <w:rsid w:val="006B1E59"/>
    <w:rsid w:val="006C70FF"/>
    <w:rsid w:val="006D07B5"/>
    <w:rsid w:val="006D1350"/>
    <w:rsid w:val="006D3BB5"/>
    <w:rsid w:val="006F3246"/>
    <w:rsid w:val="007003BB"/>
    <w:rsid w:val="00705A30"/>
    <w:rsid w:val="007060CD"/>
    <w:rsid w:val="007108B5"/>
    <w:rsid w:val="00717526"/>
    <w:rsid w:val="00734173"/>
    <w:rsid w:val="0074468E"/>
    <w:rsid w:val="00757BAC"/>
    <w:rsid w:val="007654D9"/>
    <w:rsid w:val="00780EC7"/>
    <w:rsid w:val="007813C4"/>
    <w:rsid w:val="00782D02"/>
    <w:rsid w:val="00783914"/>
    <w:rsid w:val="00786AC0"/>
    <w:rsid w:val="00795DA8"/>
    <w:rsid w:val="0079623A"/>
    <w:rsid w:val="007B010B"/>
    <w:rsid w:val="007C0C3E"/>
    <w:rsid w:val="007C5D04"/>
    <w:rsid w:val="007E2F7A"/>
    <w:rsid w:val="007E5B73"/>
    <w:rsid w:val="007E747E"/>
    <w:rsid w:val="007F32B6"/>
    <w:rsid w:val="0080693C"/>
    <w:rsid w:val="008078EF"/>
    <w:rsid w:val="00807B0D"/>
    <w:rsid w:val="008148F1"/>
    <w:rsid w:val="008167F1"/>
    <w:rsid w:val="008227F6"/>
    <w:rsid w:val="00827CDC"/>
    <w:rsid w:val="00827E5E"/>
    <w:rsid w:val="00836F9B"/>
    <w:rsid w:val="00840996"/>
    <w:rsid w:val="00846598"/>
    <w:rsid w:val="00854D07"/>
    <w:rsid w:val="00857D63"/>
    <w:rsid w:val="00862077"/>
    <w:rsid w:val="00873AEA"/>
    <w:rsid w:val="00875827"/>
    <w:rsid w:val="008802A7"/>
    <w:rsid w:val="00881D06"/>
    <w:rsid w:val="00885787"/>
    <w:rsid w:val="00886490"/>
    <w:rsid w:val="0089107F"/>
    <w:rsid w:val="00892380"/>
    <w:rsid w:val="00894803"/>
    <w:rsid w:val="008A2D2F"/>
    <w:rsid w:val="008C0503"/>
    <w:rsid w:val="008C3960"/>
    <w:rsid w:val="008C689D"/>
    <w:rsid w:val="008D3930"/>
    <w:rsid w:val="008E5402"/>
    <w:rsid w:val="00915133"/>
    <w:rsid w:val="00924CB9"/>
    <w:rsid w:val="00927543"/>
    <w:rsid w:val="0093008B"/>
    <w:rsid w:val="00946910"/>
    <w:rsid w:val="00952B34"/>
    <w:rsid w:val="0095499C"/>
    <w:rsid w:val="0095751A"/>
    <w:rsid w:val="00963988"/>
    <w:rsid w:val="0097017F"/>
    <w:rsid w:val="00971CEC"/>
    <w:rsid w:val="0098064D"/>
    <w:rsid w:val="009A7842"/>
    <w:rsid w:val="009B1918"/>
    <w:rsid w:val="009C4628"/>
    <w:rsid w:val="009C5317"/>
    <w:rsid w:val="009D5302"/>
    <w:rsid w:val="009D7DB2"/>
    <w:rsid w:val="009E51E8"/>
    <w:rsid w:val="009F3D17"/>
    <w:rsid w:val="009F5C74"/>
    <w:rsid w:val="009F7861"/>
    <w:rsid w:val="00A12295"/>
    <w:rsid w:val="00A241EA"/>
    <w:rsid w:val="00A30ACA"/>
    <w:rsid w:val="00A3521B"/>
    <w:rsid w:val="00A44DC6"/>
    <w:rsid w:val="00A56572"/>
    <w:rsid w:val="00A63B43"/>
    <w:rsid w:val="00A64592"/>
    <w:rsid w:val="00A75418"/>
    <w:rsid w:val="00A77986"/>
    <w:rsid w:val="00A8462C"/>
    <w:rsid w:val="00A84A9C"/>
    <w:rsid w:val="00A940F0"/>
    <w:rsid w:val="00A95B2D"/>
    <w:rsid w:val="00A96048"/>
    <w:rsid w:val="00AA3FF9"/>
    <w:rsid w:val="00AB1C2F"/>
    <w:rsid w:val="00AB22E6"/>
    <w:rsid w:val="00AB7930"/>
    <w:rsid w:val="00AC1393"/>
    <w:rsid w:val="00AC3511"/>
    <w:rsid w:val="00AF2882"/>
    <w:rsid w:val="00AF5C37"/>
    <w:rsid w:val="00B07CAB"/>
    <w:rsid w:val="00B2091A"/>
    <w:rsid w:val="00B26FED"/>
    <w:rsid w:val="00B31808"/>
    <w:rsid w:val="00B37540"/>
    <w:rsid w:val="00B4766C"/>
    <w:rsid w:val="00B51864"/>
    <w:rsid w:val="00B56B56"/>
    <w:rsid w:val="00B57D50"/>
    <w:rsid w:val="00B626E2"/>
    <w:rsid w:val="00B637DE"/>
    <w:rsid w:val="00B64924"/>
    <w:rsid w:val="00B80E6E"/>
    <w:rsid w:val="00B8298E"/>
    <w:rsid w:val="00B8325F"/>
    <w:rsid w:val="00B93C0E"/>
    <w:rsid w:val="00B94DC4"/>
    <w:rsid w:val="00B97E6B"/>
    <w:rsid w:val="00BA32BE"/>
    <w:rsid w:val="00BA3861"/>
    <w:rsid w:val="00BA79AB"/>
    <w:rsid w:val="00BB0FB0"/>
    <w:rsid w:val="00BB2AC3"/>
    <w:rsid w:val="00BC3F17"/>
    <w:rsid w:val="00BD3BA5"/>
    <w:rsid w:val="00BD78DE"/>
    <w:rsid w:val="00BE5AE8"/>
    <w:rsid w:val="00BF58B8"/>
    <w:rsid w:val="00BF6071"/>
    <w:rsid w:val="00C032D5"/>
    <w:rsid w:val="00C1058D"/>
    <w:rsid w:val="00C15335"/>
    <w:rsid w:val="00C200B4"/>
    <w:rsid w:val="00C22CFC"/>
    <w:rsid w:val="00C23CE8"/>
    <w:rsid w:val="00C27779"/>
    <w:rsid w:val="00C352CA"/>
    <w:rsid w:val="00C45FC7"/>
    <w:rsid w:val="00C54162"/>
    <w:rsid w:val="00C54FFB"/>
    <w:rsid w:val="00C67D01"/>
    <w:rsid w:val="00C93A48"/>
    <w:rsid w:val="00C95078"/>
    <w:rsid w:val="00CA2264"/>
    <w:rsid w:val="00CA3085"/>
    <w:rsid w:val="00CA51F2"/>
    <w:rsid w:val="00CB2E3B"/>
    <w:rsid w:val="00CB53E8"/>
    <w:rsid w:val="00CC5902"/>
    <w:rsid w:val="00CC7F53"/>
    <w:rsid w:val="00CD3F86"/>
    <w:rsid w:val="00CD44A2"/>
    <w:rsid w:val="00CE6D4C"/>
    <w:rsid w:val="00CE7095"/>
    <w:rsid w:val="00D07AA2"/>
    <w:rsid w:val="00D14AA9"/>
    <w:rsid w:val="00D15A47"/>
    <w:rsid w:val="00D160B9"/>
    <w:rsid w:val="00D21171"/>
    <w:rsid w:val="00D2132D"/>
    <w:rsid w:val="00D2524B"/>
    <w:rsid w:val="00D305BD"/>
    <w:rsid w:val="00D30E09"/>
    <w:rsid w:val="00D32040"/>
    <w:rsid w:val="00D45842"/>
    <w:rsid w:val="00D55707"/>
    <w:rsid w:val="00D56E68"/>
    <w:rsid w:val="00D70891"/>
    <w:rsid w:val="00D7442E"/>
    <w:rsid w:val="00D821DC"/>
    <w:rsid w:val="00D84C62"/>
    <w:rsid w:val="00D9356A"/>
    <w:rsid w:val="00D93F5D"/>
    <w:rsid w:val="00DA47A1"/>
    <w:rsid w:val="00DB095F"/>
    <w:rsid w:val="00DB60D1"/>
    <w:rsid w:val="00DD6E8E"/>
    <w:rsid w:val="00DE59B1"/>
    <w:rsid w:val="00DF2202"/>
    <w:rsid w:val="00DF4654"/>
    <w:rsid w:val="00DF619D"/>
    <w:rsid w:val="00E056FE"/>
    <w:rsid w:val="00E07B9B"/>
    <w:rsid w:val="00E10888"/>
    <w:rsid w:val="00E11CC6"/>
    <w:rsid w:val="00E13030"/>
    <w:rsid w:val="00E21534"/>
    <w:rsid w:val="00E24516"/>
    <w:rsid w:val="00E24C8E"/>
    <w:rsid w:val="00E41B7F"/>
    <w:rsid w:val="00E565BF"/>
    <w:rsid w:val="00E65522"/>
    <w:rsid w:val="00E72D79"/>
    <w:rsid w:val="00E84980"/>
    <w:rsid w:val="00E85DC6"/>
    <w:rsid w:val="00E86381"/>
    <w:rsid w:val="00E870CC"/>
    <w:rsid w:val="00E96506"/>
    <w:rsid w:val="00EA450C"/>
    <w:rsid w:val="00EA6A02"/>
    <w:rsid w:val="00EA6F01"/>
    <w:rsid w:val="00EB638B"/>
    <w:rsid w:val="00EB6E7E"/>
    <w:rsid w:val="00ED0A9F"/>
    <w:rsid w:val="00EE0B5C"/>
    <w:rsid w:val="00EE38CC"/>
    <w:rsid w:val="00EE4A86"/>
    <w:rsid w:val="00EF02E0"/>
    <w:rsid w:val="00EF2C98"/>
    <w:rsid w:val="00EF5186"/>
    <w:rsid w:val="00F03B9B"/>
    <w:rsid w:val="00F03BF5"/>
    <w:rsid w:val="00F164AB"/>
    <w:rsid w:val="00F179B3"/>
    <w:rsid w:val="00F20359"/>
    <w:rsid w:val="00F20ED3"/>
    <w:rsid w:val="00F266B1"/>
    <w:rsid w:val="00F26EB5"/>
    <w:rsid w:val="00F361B9"/>
    <w:rsid w:val="00F36A12"/>
    <w:rsid w:val="00F46909"/>
    <w:rsid w:val="00F51423"/>
    <w:rsid w:val="00F52583"/>
    <w:rsid w:val="00F5432F"/>
    <w:rsid w:val="00F551D6"/>
    <w:rsid w:val="00F558D2"/>
    <w:rsid w:val="00F562E1"/>
    <w:rsid w:val="00F57820"/>
    <w:rsid w:val="00F61A7A"/>
    <w:rsid w:val="00F71D7E"/>
    <w:rsid w:val="00FA6628"/>
    <w:rsid w:val="00FA7984"/>
    <w:rsid w:val="00FB08D0"/>
    <w:rsid w:val="00FC4A4B"/>
    <w:rsid w:val="00FE611D"/>
    <w:rsid w:val="063F634D"/>
    <w:rsid w:val="0EBA4425"/>
    <w:rsid w:val="1D4A5EFF"/>
    <w:rsid w:val="291711C3"/>
    <w:rsid w:val="2E9351AA"/>
    <w:rsid w:val="4BA45F7F"/>
    <w:rsid w:val="50C73A1D"/>
    <w:rsid w:val="56F023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nhideWhenUsed="0" w:uiPriority="0" w:semiHidden="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qFormat="1" w:unhideWhenUsed="0" w:uiPriority="0" w:semiHidden="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autoRedefine/>
    <w:qFormat/>
    <w:uiPriority w:val="99"/>
    <w:pPr>
      <w:widowControl/>
      <w:spacing w:before="100" w:beforeAutospacing="1" w:after="100" w:afterAutospacing="1"/>
      <w:jc w:val="left"/>
      <w:outlineLvl w:val="2"/>
    </w:pPr>
    <w:rPr>
      <w:rFonts w:ascii="宋体" w:hAnsi="宋体" w:cs="宋体"/>
      <w:b/>
      <w:bCs/>
      <w:kern w:val="0"/>
      <w:sz w:val="27"/>
      <w:szCs w:val="27"/>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3">
    <w:name w:val="Document Map"/>
    <w:basedOn w:val="1"/>
    <w:link w:val="18"/>
    <w:autoRedefine/>
    <w:qFormat/>
    <w:uiPriority w:val="0"/>
    <w:rPr>
      <w:rFonts w:ascii="宋体" w:eastAsia="宋体"/>
      <w:sz w:val="18"/>
      <w:szCs w:val="18"/>
    </w:rPr>
  </w:style>
  <w:style w:type="paragraph" w:styleId="4">
    <w:name w:val="Body Text 3"/>
    <w:basedOn w:val="1"/>
    <w:autoRedefine/>
    <w:qFormat/>
    <w:uiPriority w:val="0"/>
    <w:rPr>
      <w:rFonts w:ascii="黑体" w:hAnsi="Arial" w:eastAsia="黑体"/>
      <w:b/>
      <w:sz w:val="28"/>
    </w:rPr>
  </w:style>
  <w:style w:type="paragraph" w:styleId="5">
    <w:name w:val="Body Text Indent"/>
    <w:basedOn w:val="1"/>
    <w:autoRedefine/>
    <w:qFormat/>
    <w:uiPriority w:val="0"/>
    <w:pPr>
      <w:spacing w:after="120"/>
      <w:ind w:left="420" w:leftChars="200"/>
    </w:pPr>
  </w:style>
  <w:style w:type="paragraph" w:styleId="6">
    <w:name w:val="Plain Text"/>
    <w:basedOn w:val="1"/>
    <w:link w:val="22"/>
    <w:qFormat/>
    <w:uiPriority w:val="99"/>
    <w:rPr>
      <w:rFonts w:ascii="宋体" w:hAnsi="Courier New"/>
      <w:szCs w:val="22"/>
    </w:rPr>
  </w:style>
  <w:style w:type="paragraph" w:styleId="7">
    <w:name w:val="Balloon Text"/>
    <w:basedOn w:val="1"/>
    <w:link w:val="17"/>
    <w:qFormat/>
    <w:uiPriority w:val="0"/>
    <w:rPr>
      <w:sz w:val="18"/>
      <w:szCs w:val="18"/>
    </w:rPr>
  </w:style>
  <w:style w:type="paragraph" w:styleId="8">
    <w:name w:val="footer"/>
    <w:basedOn w:val="1"/>
    <w:link w:val="16"/>
    <w:autoRedefine/>
    <w:qFormat/>
    <w:uiPriority w:val="0"/>
    <w:pPr>
      <w:tabs>
        <w:tab w:val="center" w:pos="4153"/>
        <w:tab w:val="right" w:pos="8306"/>
      </w:tabs>
      <w:snapToGrid w:val="0"/>
      <w:jc w:val="left"/>
    </w:pPr>
    <w:rPr>
      <w:sz w:val="18"/>
      <w:szCs w:val="18"/>
    </w:rPr>
  </w:style>
  <w:style w:type="paragraph" w:styleId="9">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10">
    <w:name w:val="Normal (Web)"/>
    <w:basedOn w:val="1"/>
    <w:autoRedefine/>
    <w:qFormat/>
    <w:uiPriority w:val="0"/>
    <w:pPr>
      <w:spacing w:beforeAutospacing="1" w:afterAutospacing="1"/>
      <w:jc w:val="left"/>
    </w:pPr>
    <w:rPr>
      <w:rFonts w:cs="Times New Roman"/>
      <w:kern w:val="0"/>
      <w:sz w:val="24"/>
    </w:rPr>
  </w:style>
  <w:style w:type="table" w:styleId="12">
    <w:name w:val="Table Grid"/>
    <w:basedOn w:val="11"/>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
    <w:name w:val="fontstyle01"/>
    <w:qFormat/>
    <w:uiPriority w:val="0"/>
    <w:rPr>
      <w:rFonts w:hint="eastAsia" w:ascii="宋体" w:hAnsi="宋体" w:eastAsia="宋体"/>
      <w:color w:val="000000"/>
      <w:sz w:val="24"/>
      <w:szCs w:val="24"/>
    </w:rPr>
  </w:style>
  <w:style w:type="paragraph" w:customStyle="1" w:styleId="15">
    <w:name w:val="D&amp;L"/>
    <w:basedOn w:val="9"/>
    <w:autoRedefine/>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16">
    <w:name w:val="页脚 字符"/>
    <w:basedOn w:val="13"/>
    <w:link w:val="8"/>
    <w:qFormat/>
    <w:uiPriority w:val="0"/>
    <w:rPr>
      <w:rFonts w:asciiTheme="minorHAnsi" w:hAnsiTheme="minorHAnsi" w:eastAsiaTheme="minorEastAsia" w:cstheme="minorBidi"/>
      <w:kern w:val="2"/>
      <w:sz w:val="18"/>
      <w:szCs w:val="18"/>
    </w:rPr>
  </w:style>
  <w:style w:type="character" w:customStyle="1" w:styleId="17">
    <w:name w:val="批注框文本 字符"/>
    <w:basedOn w:val="13"/>
    <w:link w:val="7"/>
    <w:autoRedefine/>
    <w:qFormat/>
    <w:uiPriority w:val="0"/>
    <w:rPr>
      <w:rFonts w:asciiTheme="minorHAnsi" w:hAnsiTheme="minorHAnsi" w:eastAsiaTheme="minorEastAsia" w:cstheme="minorBidi"/>
      <w:kern w:val="2"/>
      <w:sz w:val="18"/>
      <w:szCs w:val="18"/>
    </w:rPr>
  </w:style>
  <w:style w:type="character" w:customStyle="1" w:styleId="18">
    <w:name w:val="文档结构图 字符"/>
    <w:basedOn w:val="13"/>
    <w:link w:val="3"/>
    <w:autoRedefine/>
    <w:qFormat/>
    <w:uiPriority w:val="0"/>
    <w:rPr>
      <w:rFonts w:ascii="宋体" w:hAnsiTheme="minorHAnsi" w:cstheme="minorBidi"/>
      <w:kern w:val="2"/>
      <w:sz w:val="18"/>
      <w:szCs w:val="18"/>
    </w:rPr>
  </w:style>
  <w:style w:type="paragraph" w:styleId="19">
    <w:name w:val="List Paragraph"/>
    <w:basedOn w:val="1"/>
    <w:autoRedefine/>
    <w:unhideWhenUsed/>
    <w:qFormat/>
    <w:uiPriority w:val="99"/>
    <w:pPr>
      <w:ind w:firstLine="420" w:firstLineChars="200"/>
    </w:pPr>
  </w:style>
  <w:style w:type="paragraph" w:customStyle="1" w:styleId="20">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21">
    <w:name w:val="No Spacing"/>
    <w:autoRedefine/>
    <w:qFormat/>
    <w:uiPriority w:val="1"/>
    <w:pPr>
      <w:widowControl w:val="0"/>
      <w:jc w:val="both"/>
    </w:pPr>
    <w:rPr>
      <w:rFonts w:ascii="Calibri" w:hAnsi="Calibri" w:eastAsia="宋体" w:cs="Times New Roman"/>
      <w:kern w:val="2"/>
      <w:sz w:val="21"/>
      <w:szCs w:val="22"/>
      <w:lang w:val="en-US" w:eastAsia="zh-CN" w:bidi="ar-SA"/>
    </w:rPr>
  </w:style>
  <w:style w:type="character" w:customStyle="1" w:styleId="22">
    <w:name w:val="纯文本 字符"/>
    <w:basedOn w:val="13"/>
    <w:link w:val="6"/>
    <w:autoRedefine/>
    <w:qFormat/>
    <w:uiPriority w:val="0"/>
    <w:rPr>
      <w:rFonts w:ascii="宋体" w:hAnsi="Courier New" w:eastAsiaTheme="minorEastAsia" w:cstheme="minorBidi"/>
      <w:kern w:val="2"/>
      <w:sz w:val="21"/>
      <w:szCs w:val="22"/>
    </w:rPr>
  </w:style>
  <w:style w:type="paragraph" w:customStyle="1" w:styleId="23">
    <w:name w:val="Char Char Char Char Char Char Char1 Char"/>
    <w:basedOn w:val="1"/>
    <w:autoRedefine/>
    <w:qFormat/>
    <w:uiPriority w:val="0"/>
    <w:rPr>
      <w:rFonts w:ascii="Arial" w:hAnsi="Arial" w:eastAsia="宋体" w:cs="Arial"/>
      <w:sz w:val="24"/>
      <w:szCs w:val="20"/>
    </w:rPr>
  </w:style>
  <w:style w:type="paragraph" w:customStyle="1" w:styleId="24">
    <w:name w:val="Null"/>
    <w:autoRedefine/>
    <w:qFormat/>
    <w:uiPriority w:val="0"/>
    <w:pPr>
      <w:jc w:val="both"/>
      <w:textAlignment w:val="baseline"/>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1F267F-B873-47A4-913D-19592A428607}">
  <ds:schemaRefs/>
</ds:datastoreItem>
</file>

<file path=docProps/app.xml><?xml version="1.0" encoding="utf-8"?>
<Properties xmlns="http://schemas.openxmlformats.org/officeDocument/2006/extended-properties" xmlns:vt="http://schemas.openxmlformats.org/officeDocument/2006/docPropsVTypes">
  <Template>Normal</Template>
  <Pages>29</Pages>
  <Words>2068</Words>
  <Characters>11793</Characters>
  <Lines>98</Lines>
  <Paragraphs>27</Paragraphs>
  <TotalTime>1385</TotalTime>
  <ScaleCrop>false</ScaleCrop>
  <LinksUpToDate>false</LinksUpToDate>
  <CharactersWithSpaces>13834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2020-08-03T06:47:00Z</dcterms:created>
  <dc:creator>acer</dc:creator>
  <cp:lastModifiedBy>sum rain</cp:lastModifiedBy>
  <dcterms:modified xsi:type="dcterms:W3CDTF">2024-04-07T01:50:49Z</dcterms:modified>
  <cp:revision>332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5D7C3B2CBC8F41FC927A0324DB0C712A_12</vt:lpwstr>
  </property>
</Properties>
</file>