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35"/>
        <w:jc w:val="center"/>
        <w:outlineLvl w:val="1"/>
        <w:rPr>
          <w:rFonts w:ascii="宋体" w:hAnsi="宋体" w:eastAsia="宋体"/>
          <w:b/>
          <w:sz w:val="30"/>
          <w:szCs w:val="30"/>
        </w:rPr>
      </w:pPr>
      <w:r>
        <w:rPr>
          <w:rFonts w:hint="eastAsia" w:ascii="宋体" w:hAnsi="宋体" w:eastAsia="宋体"/>
          <w:b/>
          <w:sz w:val="30"/>
          <w:szCs w:val="30"/>
        </w:rPr>
        <w:t>合肥体育运动学校水上项目队送餐项目采购需求</w:t>
      </w:r>
    </w:p>
    <w:p>
      <w:pPr>
        <w:spacing w:line="360" w:lineRule="auto"/>
        <w:ind w:firstLine="435"/>
        <w:outlineLvl w:val="1"/>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一、基本概况</w:t>
      </w:r>
    </w:p>
    <w:p>
      <w:pPr>
        <w:widowControl/>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napToGrid w:val="0"/>
          <w:color w:val="000000"/>
          <w:kern w:val="0"/>
          <w:sz w:val="24"/>
          <w:lang w:bidi="ar"/>
        </w:rPr>
        <w:t>合肥体育运动学校水上训练基地有水上赛艇（含赛艇队1组、赛艇队2组）、皮划艇3个项目组。每天大约100名师生就餐</w:t>
      </w:r>
      <w:r>
        <w:rPr>
          <w:rFonts w:hint="eastAsia" w:asciiTheme="minorEastAsia" w:hAnsiTheme="minorEastAsia" w:eastAsiaTheme="minorEastAsia" w:cstheme="minorEastAsia"/>
          <w:sz w:val="24"/>
        </w:rPr>
        <w:t xml:space="preserve">，全年无休。 </w:t>
      </w:r>
    </w:p>
    <w:p>
      <w:pPr>
        <w:pStyle w:val="2"/>
        <w:spacing w:line="360" w:lineRule="auto"/>
        <w:ind w:left="0" w:firstLine="482" w:firstLineChars="200"/>
        <w:rPr>
          <w:rFonts w:asciiTheme="minorEastAsia" w:hAnsiTheme="minorEastAsia" w:eastAsiaTheme="minorEastAsia" w:cstheme="minorEastAsia"/>
        </w:rPr>
      </w:pPr>
      <w:r>
        <w:rPr>
          <w:rFonts w:hint="eastAsia" w:asciiTheme="minorEastAsia" w:hAnsiTheme="minorEastAsia" w:eastAsiaTheme="minorEastAsia" w:cstheme="minorEastAsia"/>
          <w:b/>
          <w:bCs/>
          <w:snapToGrid w:val="0"/>
          <w:color w:val="000000"/>
          <w:kern w:val="0"/>
          <w:lang w:val="en-US" w:bidi="ar"/>
        </w:rPr>
        <w:t>二、服务要求</w:t>
      </w:r>
      <w:r>
        <w:rPr>
          <w:rFonts w:hint="eastAsia" w:asciiTheme="minorEastAsia" w:hAnsiTheme="minorEastAsia" w:eastAsiaTheme="minorEastAsia" w:cstheme="minorEastAsia"/>
          <w:snapToGrid w:val="0"/>
          <w:color w:val="000000"/>
          <w:kern w:val="0"/>
          <w:lang w:val="en-US" w:bidi="ar"/>
        </w:rPr>
        <w:t xml:space="preserve"> </w:t>
      </w:r>
    </w:p>
    <w:p>
      <w:pPr>
        <w:kinsoku w:val="0"/>
        <w:autoSpaceDE w:val="0"/>
        <w:autoSpaceDN w:val="0"/>
        <w:adjustRightInd w:val="0"/>
        <w:snapToGrid w:val="0"/>
        <w:spacing w:line="360" w:lineRule="auto"/>
        <w:ind w:firstLine="480" w:firstLineChars="200"/>
        <w:textAlignment w:val="baseline"/>
        <w:rPr>
          <w:rFonts w:asciiTheme="minorEastAsia" w:hAnsiTheme="minorEastAsia" w:eastAsiaTheme="minorEastAsia" w:cstheme="minorEastAsia"/>
          <w:snapToGrid w:val="0"/>
          <w:color w:val="000000"/>
          <w:kern w:val="0"/>
          <w:sz w:val="24"/>
          <w:lang w:bidi="ar"/>
        </w:rPr>
      </w:pPr>
      <w:r>
        <w:rPr>
          <w:rFonts w:hint="eastAsia" w:asciiTheme="minorEastAsia" w:hAnsiTheme="minorEastAsia" w:eastAsiaTheme="minorEastAsia" w:cstheme="minorEastAsia"/>
          <w:snapToGrid w:val="0"/>
          <w:color w:val="000000"/>
          <w:kern w:val="0"/>
          <w:sz w:val="24"/>
          <w:lang w:bidi="ar"/>
        </w:rPr>
        <w:t>1.成交供应商</w:t>
      </w:r>
      <w:r>
        <w:rPr>
          <w:rFonts w:hint="eastAsia" w:asciiTheme="minorEastAsia" w:hAnsiTheme="minorEastAsia" w:eastAsiaTheme="minorEastAsia" w:cstheme="minorEastAsia"/>
          <w:sz w:val="24"/>
        </w:rPr>
        <w:t>每餐</w:t>
      </w:r>
      <w:r>
        <w:rPr>
          <w:rFonts w:hint="eastAsia" w:asciiTheme="minorEastAsia" w:hAnsiTheme="minorEastAsia" w:eastAsiaTheme="minorEastAsia" w:cstheme="minorEastAsia"/>
          <w:b/>
          <w:bCs/>
          <w:sz w:val="24"/>
        </w:rPr>
        <w:t>准时将备好餐食由合肥体育运动学校食堂送至高刘镇长岗社区新桥家园小区内运动员驻地</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napToGrid w:val="0"/>
          <w:color w:val="000000"/>
          <w:kern w:val="0"/>
          <w:sz w:val="24"/>
          <w:lang w:bidi="ar"/>
        </w:rPr>
        <w:t>确保学生准时吃到热饭热菜热汤。</w:t>
      </w:r>
    </w:p>
    <w:p>
      <w:pPr>
        <w:kinsoku w:val="0"/>
        <w:autoSpaceDE w:val="0"/>
        <w:autoSpaceDN w:val="0"/>
        <w:adjustRightInd w:val="0"/>
        <w:snapToGrid w:val="0"/>
        <w:spacing w:line="360" w:lineRule="auto"/>
        <w:ind w:firstLine="480" w:firstLineChars="200"/>
        <w:textAlignment w:val="baseline"/>
        <w:rPr>
          <w:rFonts w:asciiTheme="minorEastAsia" w:hAnsiTheme="minorEastAsia" w:eastAsiaTheme="minorEastAsia" w:cstheme="minorEastAsia"/>
          <w:snapToGrid w:val="0"/>
          <w:color w:val="000000"/>
          <w:kern w:val="0"/>
          <w:sz w:val="24"/>
          <w:lang w:bidi="ar"/>
        </w:rPr>
      </w:pPr>
      <w:r>
        <w:rPr>
          <w:rFonts w:hint="eastAsia" w:asciiTheme="minorEastAsia" w:hAnsiTheme="minorEastAsia" w:eastAsiaTheme="minorEastAsia" w:cstheme="minorEastAsia"/>
          <w:snapToGrid w:val="0"/>
          <w:color w:val="000000"/>
          <w:kern w:val="0"/>
          <w:sz w:val="24"/>
          <w:lang w:bidi="ar"/>
        </w:rPr>
        <w:t>2.成交供应商</w:t>
      </w:r>
      <w:r>
        <w:rPr>
          <w:rFonts w:hint="eastAsia" w:ascii="宋体" w:hAnsi="宋体" w:eastAsia="宋体" w:cs="宋体"/>
          <w:b/>
          <w:bCs/>
          <w:snapToGrid w:val="0"/>
          <w:color w:val="000000"/>
          <w:kern w:val="0"/>
          <w:sz w:val="24"/>
          <w:lang w:bidi="ar"/>
        </w:rPr>
        <w:t>能独立承担经营责任及风险的社会餐饮服务机构或食材配送机构</w:t>
      </w:r>
      <w:r>
        <w:rPr>
          <w:rFonts w:hint="eastAsia" w:ascii="宋体" w:hAnsi="宋体" w:eastAsia="宋体" w:cs="宋体"/>
          <w:snapToGrid w:val="0"/>
          <w:color w:val="000000"/>
          <w:kern w:val="0"/>
          <w:sz w:val="24"/>
          <w:lang w:bidi="ar"/>
        </w:rPr>
        <w:t>进行经营及管理。</w:t>
      </w:r>
    </w:p>
    <w:p>
      <w:pPr>
        <w:widowControl/>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napToGrid w:val="0"/>
          <w:color w:val="000000"/>
          <w:kern w:val="0"/>
          <w:sz w:val="24"/>
          <w:lang w:bidi="ar"/>
        </w:rPr>
        <w:t>3.成交供应商在服务期内应严格遵守《食品安全法实施条例》、《餐饮服务食品安全监督管理办法》、《餐饮服务食品安全操作规范》、《合肥市中小学幼儿园集中用餐食品安全与营养健康管理实施方案》等相关规定，主动申报或接受监管部门随时随地现场或飞行检查，若受到监管部门处罚超过两次，终止合同。</w:t>
      </w:r>
    </w:p>
    <w:p>
      <w:pPr>
        <w:widowControl/>
        <w:spacing w:line="360" w:lineRule="auto"/>
        <w:ind w:firstLine="480" w:firstLineChars="200"/>
        <w:jc w:val="left"/>
        <w:rPr>
          <w:rFonts w:asciiTheme="minorEastAsia" w:hAnsiTheme="minorEastAsia" w:eastAsiaTheme="minorEastAsia" w:cstheme="minorEastAsia"/>
          <w:snapToGrid w:val="0"/>
          <w:color w:val="000000"/>
          <w:kern w:val="0"/>
          <w:sz w:val="24"/>
          <w:lang w:bidi="ar"/>
        </w:rPr>
      </w:pPr>
      <w:r>
        <w:rPr>
          <w:rFonts w:hint="eastAsia" w:asciiTheme="minorEastAsia" w:hAnsiTheme="minorEastAsia" w:eastAsiaTheme="minorEastAsia" w:cstheme="minorEastAsia"/>
          <w:snapToGrid w:val="0"/>
          <w:color w:val="000000"/>
          <w:kern w:val="0"/>
          <w:sz w:val="24"/>
          <w:lang w:bidi="ar"/>
        </w:rPr>
        <w:t>4.成交供应商应根据用餐单位的距离远近情况，做出合理供餐路线规划，餐饭装好后，应及时出车，按时送至用餐地点。在送餐过程中发生的一切意外事故由成交供应商负责，因成交供应商配送不及时导致师生膳食供应延误或给校方造成不良影响的，</w:t>
      </w:r>
      <w:r>
        <w:rPr>
          <w:rFonts w:hint="eastAsia" w:asciiTheme="minorEastAsia" w:hAnsiTheme="minorEastAsia" w:eastAsiaTheme="minorEastAsia" w:cstheme="minorEastAsia"/>
          <w:b/>
          <w:bCs/>
          <w:snapToGrid w:val="0"/>
          <w:color w:val="000000"/>
          <w:kern w:val="0"/>
          <w:sz w:val="24"/>
          <w:lang w:bidi="ar"/>
        </w:rPr>
        <w:t>均由供应商承担责任</w:t>
      </w:r>
      <w:r>
        <w:rPr>
          <w:rFonts w:hint="eastAsia" w:asciiTheme="minorEastAsia" w:hAnsiTheme="minorEastAsia" w:eastAsiaTheme="minorEastAsia" w:cstheme="minorEastAsia"/>
          <w:snapToGrid w:val="0"/>
          <w:color w:val="000000"/>
          <w:kern w:val="0"/>
          <w:sz w:val="24"/>
          <w:lang w:bidi="ar"/>
        </w:rPr>
        <w:t>。</w:t>
      </w:r>
    </w:p>
    <w:p>
      <w:pPr>
        <w:widowControl/>
        <w:spacing w:line="360" w:lineRule="auto"/>
        <w:ind w:firstLine="480" w:firstLineChars="200"/>
        <w:jc w:val="left"/>
        <w:rPr>
          <w:rFonts w:asciiTheme="minorEastAsia" w:hAnsiTheme="minorEastAsia" w:eastAsiaTheme="minorEastAsia" w:cstheme="minorEastAsia"/>
          <w:snapToGrid w:val="0"/>
          <w:color w:val="000000"/>
          <w:kern w:val="0"/>
          <w:sz w:val="24"/>
          <w:lang w:bidi="ar"/>
        </w:rPr>
      </w:pPr>
      <w:r>
        <w:rPr>
          <w:rFonts w:hint="eastAsia" w:asciiTheme="minorEastAsia" w:hAnsiTheme="minorEastAsia" w:eastAsiaTheme="minorEastAsia" w:cstheme="minorEastAsia"/>
          <w:snapToGrid w:val="0"/>
          <w:color w:val="000000"/>
          <w:kern w:val="0"/>
          <w:sz w:val="24"/>
          <w:lang w:bidi="ar"/>
        </w:rPr>
        <w:t>5.成交供应商应配备符合送餐标准的车辆、配送餐具送餐，车辆运输前应进行清洗、消毒，在运输装卸过程中应当注意操作卫生，防止膳食在运输过程中受到污染，若造成污染等后果</w:t>
      </w:r>
      <w:r>
        <w:rPr>
          <w:rFonts w:hint="eastAsia" w:asciiTheme="minorEastAsia" w:hAnsiTheme="minorEastAsia" w:eastAsiaTheme="minorEastAsia" w:cstheme="minorEastAsia"/>
          <w:b/>
          <w:bCs/>
          <w:snapToGrid w:val="0"/>
          <w:color w:val="000000"/>
          <w:kern w:val="0"/>
          <w:sz w:val="24"/>
          <w:lang w:bidi="ar"/>
        </w:rPr>
        <w:t>一切责任由供应商承担</w:t>
      </w:r>
      <w:r>
        <w:rPr>
          <w:rFonts w:hint="eastAsia" w:asciiTheme="minorEastAsia" w:hAnsiTheme="minorEastAsia" w:eastAsiaTheme="minorEastAsia" w:cstheme="minorEastAsia"/>
          <w:snapToGrid w:val="0"/>
          <w:color w:val="000000"/>
          <w:kern w:val="0"/>
          <w:sz w:val="24"/>
          <w:lang w:bidi="ar"/>
        </w:rPr>
        <w:t>。成交供应商运输工具，发生任何人员与设施损伤损坏，</w:t>
      </w:r>
      <w:r>
        <w:rPr>
          <w:rFonts w:hint="eastAsia" w:asciiTheme="minorEastAsia" w:hAnsiTheme="minorEastAsia" w:eastAsiaTheme="minorEastAsia" w:cstheme="minorEastAsia"/>
          <w:b/>
          <w:bCs/>
          <w:snapToGrid w:val="0"/>
          <w:color w:val="000000"/>
          <w:kern w:val="0"/>
          <w:sz w:val="24"/>
          <w:lang w:bidi="ar"/>
        </w:rPr>
        <w:t>均由成交供应商承担责任</w:t>
      </w:r>
      <w:r>
        <w:rPr>
          <w:rFonts w:hint="eastAsia" w:asciiTheme="minorEastAsia" w:hAnsiTheme="minorEastAsia" w:eastAsiaTheme="minorEastAsia" w:cstheme="minorEastAsia"/>
          <w:snapToGrid w:val="0"/>
          <w:color w:val="000000"/>
          <w:kern w:val="0"/>
          <w:sz w:val="24"/>
          <w:lang w:bidi="ar"/>
        </w:rPr>
        <w:t xml:space="preserve">。运输过程中禁止人货混装，按学校要求将三餐送达到指定场所。送餐人员须佩戴工作证，工作证佩带于胸前。相关人员应遵守用餐单位相关管理制度并接受学校监督管理。 </w:t>
      </w:r>
    </w:p>
    <w:p>
      <w:pPr>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napToGrid w:val="0"/>
          <w:color w:val="000000"/>
          <w:kern w:val="0"/>
          <w:sz w:val="24"/>
          <w:lang w:bidi="ar"/>
        </w:rPr>
        <w:t>6.</w:t>
      </w:r>
      <w:r>
        <w:rPr>
          <w:rFonts w:hint="eastAsia" w:asciiTheme="minorEastAsia" w:hAnsiTheme="minorEastAsia" w:eastAsiaTheme="minorEastAsia" w:cstheme="minorEastAsia"/>
          <w:b/>
          <w:bCs/>
          <w:snapToGrid w:val="0"/>
          <w:color w:val="000000"/>
          <w:kern w:val="0"/>
          <w:sz w:val="24"/>
          <w:lang w:bidi="ar"/>
        </w:rPr>
        <w:t>成交供应商不得私自转让或委托他人经营</w:t>
      </w:r>
      <w:r>
        <w:rPr>
          <w:rFonts w:hint="eastAsia" w:asciiTheme="minorEastAsia" w:hAnsiTheme="minorEastAsia" w:eastAsiaTheme="minorEastAsia" w:cstheme="minorEastAsia"/>
          <w:snapToGrid w:val="0"/>
          <w:color w:val="000000"/>
          <w:kern w:val="0"/>
          <w:sz w:val="24"/>
          <w:lang w:bidi="ar"/>
        </w:rPr>
        <w:t>。一经发现，学校立即终止合同。</w:t>
      </w:r>
    </w:p>
    <w:p>
      <w:pPr>
        <w:widowControl/>
        <w:spacing w:line="360" w:lineRule="auto"/>
        <w:ind w:firstLine="480" w:firstLineChars="200"/>
        <w:jc w:val="left"/>
        <w:rPr>
          <w:rFonts w:asciiTheme="minorEastAsia" w:hAnsiTheme="minorEastAsia" w:eastAsiaTheme="minorEastAsia" w:cstheme="minorEastAsia"/>
          <w:snapToGrid w:val="0"/>
          <w:color w:val="000000"/>
          <w:kern w:val="0"/>
          <w:sz w:val="24"/>
          <w:lang w:bidi="ar"/>
        </w:rPr>
      </w:pPr>
      <w:r>
        <w:rPr>
          <w:rFonts w:hint="eastAsia" w:asciiTheme="minorEastAsia" w:hAnsiTheme="minorEastAsia" w:eastAsiaTheme="minorEastAsia" w:cstheme="minorEastAsia"/>
          <w:snapToGrid w:val="0"/>
          <w:color w:val="000000"/>
          <w:kern w:val="0"/>
          <w:sz w:val="24"/>
          <w:lang w:bidi="ar"/>
        </w:rPr>
        <w:t>7.成交供应商企业应加强内部管理，</w:t>
      </w:r>
      <w:r>
        <w:rPr>
          <w:rFonts w:hint="eastAsia" w:asciiTheme="minorEastAsia" w:hAnsiTheme="minorEastAsia" w:eastAsiaTheme="minorEastAsia" w:cstheme="minorEastAsia"/>
          <w:b/>
          <w:bCs/>
          <w:snapToGrid w:val="0"/>
          <w:color w:val="000000"/>
          <w:kern w:val="0"/>
          <w:sz w:val="24"/>
          <w:lang w:bidi="ar"/>
        </w:rPr>
        <w:t>配送人员须有健康证。</w:t>
      </w:r>
      <w:r>
        <w:rPr>
          <w:rFonts w:hint="eastAsia" w:asciiTheme="minorEastAsia" w:hAnsiTheme="minorEastAsia" w:eastAsiaTheme="minorEastAsia" w:cstheme="minorEastAsia"/>
          <w:snapToGrid w:val="0"/>
          <w:color w:val="000000"/>
          <w:kern w:val="0"/>
          <w:sz w:val="24"/>
          <w:lang w:bidi="ar"/>
        </w:rPr>
        <w:t>合同签订后，进场服务前，提供人员个人信息资料，至采购人处备案，若采购人和学校在核实相关人员简历、相关证书等与事实或投标文件响应内容不符的，采购人有权解除合同并报政府采购监督部门处理。</w:t>
      </w:r>
    </w:p>
    <w:p>
      <w:pPr>
        <w:keepNext w:val="0"/>
        <w:keepLines w:val="0"/>
        <w:widowControl/>
        <w:suppressLineNumbers w:val="0"/>
        <w:spacing w:line="360" w:lineRule="auto"/>
        <w:jc w:val="left"/>
        <w:rPr>
          <w:rFonts w:hint="eastAsia" w:asciiTheme="minorEastAsia" w:hAnsiTheme="minorEastAsia" w:eastAsiaTheme="minorEastAsia" w:cstheme="minorEastAsia"/>
          <w:snapToGrid w:val="0"/>
          <w:color w:val="000000"/>
          <w:kern w:val="0"/>
          <w:sz w:val="24"/>
          <w:lang w:bidi="ar"/>
        </w:rPr>
      </w:pPr>
      <w:r>
        <w:rPr>
          <w:rFonts w:hint="eastAsia" w:asciiTheme="minorEastAsia" w:hAnsiTheme="minorEastAsia" w:eastAsiaTheme="minorEastAsia" w:cstheme="minorEastAsia"/>
          <w:snapToGrid w:val="0"/>
          <w:color w:val="000000"/>
          <w:kern w:val="0"/>
          <w:sz w:val="24"/>
          <w:lang w:bidi="ar"/>
        </w:rPr>
        <w:t>8.成交供应商须与合肥体育运动学校食堂工作人员和运动员驻地3个项目组教练员对接，完成每日的三餐送餐工作。</w:t>
      </w:r>
    </w:p>
    <w:p>
      <w:pPr>
        <w:keepNext w:val="0"/>
        <w:keepLines w:val="0"/>
        <w:widowControl/>
        <w:suppressLineNumbers w:val="0"/>
        <w:spacing w:line="360" w:lineRule="auto"/>
        <w:ind w:firstLine="482" w:firstLineChars="200"/>
        <w:jc w:val="left"/>
        <w:rPr>
          <w:rFonts w:hint="eastAsia" w:ascii="宋体" w:hAnsi="宋体" w:eastAsia="宋体" w:cs="宋体"/>
          <w:b/>
          <w:bCs/>
          <w:sz w:val="24"/>
          <w:szCs w:val="24"/>
        </w:rPr>
      </w:pPr>
      <w:r>
        <w:rPr>
          <w:rFonts w:hint="eastAsia" w:ascii="宋体" w:hAnsi="宋体" w:eastAsia="宋体" w:cs="宋体"/>
          <w:b/>
          <w:bCs/>
          <w:snapToGrid w:val="0"/>
          <w:color w:val="000000"/>
          <w:kern w:val="0"/>
          <w:sz w:val="24"/>
          <w:szCs w:val="24"/>
          <w:lang w:val="en-US" w:eastAsia="zh-CN" w:bidi="ar"/>
        </w:rPr>
        <w:t>三、报价要求</w:t>
      </w:r>
      <w:r>
        <w:rPr>
          <w:rFonts w:hint="eastAsia" w:ascii="宋体" w:hAnsi="宋体" w:eastAsia="宋体" w:cs="宋体"/>
          <w:b/>
          <w:bCs/>
          <w:snapToGrid w:val="0"/>
          <w:color w:val="000000"/>
          <w:kern w:val="0"/>
          <w:sz w:val="24"/>
          <w:szCs w:val="24"/>
          <w:lang w:val="en-US" w:eastAsia="zh-CN" w:bidi="ar"/>
        </w:rPr>
        <w:t xml:space="preserve"> </w:t>
      </w:r>
    </w:p>
    <w:p>
      <w:pPr>
        <w:keepNext w:val="0"/>
        <w:keepLines w:val="0"/>
        <w:widowControl/>
        <w:suppressLineNumbers w:val="0"/>
        <w:spacing w:line="360" w:lineRule="auto"/>
        <w:ind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总价包干，供应商需报出一年服务期内的总价。报价为完成本项目服务的全部费用价格，其组成包括但不限于人员工资、管理费、服装费、通讯费、培训费、税金、利润、社会保险费、其他易耗品等为完成本次采购项目所发生的一切费用。成交供应商依法缴纳员工养老、失业、医疗、工伤、生育、纳税等保险及自行解决员工劳保、工资、福利、食宿、员工上下班交通、供应商交通问题及成交供应商为完成服务所发生的一切费用等有关问题。</w:t>
      </w:r>
    </w:p>
    <w:p>
      <w:pPr>
        <w:widowControl/>
        <w:spacing w:line="360" w:lineRule="auto"/>
        <w:jc w:val="left"/>
        <w:rPr>
          <w:rFonts w:asciiTheme="minorEastAsia" w:hAnsiTheme="minorEastAsia" w:eastAsiaTheme="minorEastAsia" w:cstheme="minorEastAsia"/>
          <w:snapToGrid w:val="0"/>
          <w:color w:val="000000"/>
          <w:kern w:val="0"/>
          <w:sz w:val="24"/>
          <w:lang w:bidi="ar"/>
        </w:rPr>
      </w:pPr>
    </w:p>
    <w:p>
      <w:pPr>
        <w:pStyle w:val="2"/>
        <w:rPr>
          <w:rFonts w:asciiTheme="minorEastAsia" w:hAnsiTheme="minorEastAsia" w:eastAsiaTheme="minorEastAsia" w:cstheme="minorEastAsia"/>
          <w:snapToGrid w:val="0"/>
          <w:color w:val="000000"/>
          <w:kern w:val="0"/>
          <w:sz w:val="24"/>
          <w:lang w:bidi="ar"/>
        </w:rPr>
      </w:pPr>
    </w:p>
    <w:p>
      <w:pPr>
        <w:pStyle w:val="3"/>
        <w:rPr>
          <w:rFonts w:asciiTheme="minorEastAsia" w:hAnsiTheme="minorEastAsia" w:eastAsiaTheme="minorEastAsia" w:cstheme="minorEastAsia"/>
          <w:snapToGrid w:val="0"/>
          <w:color w:val="000000"/>
          <w:kern w:val="0"/>
          <w:sz w:val="24"/>
          <w:lang w:bidi="ar"/>
        </w:rPr>
      </w:pPr>
    </w:p>
    <w:p>
      <w:pPr>
        <w:rPr>
          <w:rFonts w:asciiTheme="minorEastAsia" w:hAnsiTheme="minorEastAsia" w:eastAsiaTheme="minorEastAsia" w:cstheme="minorEastAsia"/>
          <w:snapToGrid w:val="0"/>
          <w:color w:val="000000"/>
          <w:kern w:val="0"/>
          <w:sz w:val="24"/>
          <w:lang w:bidi="ar"/>
        </w:rPr>
      </w:pPr>
    </w:p>
    <w:p>
      <w:pPr>
        <w:pStyle w:val="2"/>
        <w:rPr>
          <w:rFonts w:asciiTheme="minorEastAsia" w:hAnsiTheme="minorEastAsia" w:eastAsiaTheme="minorEastAsia" w:cstheme="minorEastAsia"/>
          <w:snapToGrid w:val="0"/>
          <w:color w:val="000000"/>
          <w:kern w:val="0"/>
          <w:sz w:val="24"/>
          <w:lang w:bidi="ar"/>
        </w:rPr>
      </w:pPr>
    </w:p>
    <w:p>
      <w:pPr>
        <w:pStyle w:val="3"/>
        <w:rPr>
          <w:rFonts w:asciiTheme="minorEastAsia" w:hAnsiTheme="minorEastAsia" w:eastAsiaTheme="minorEastAsia" w:cstheme="minorEastAsia"/>
          <w:snapToGrid w:val="0"/>
          <w:color w:val="000000"/>
          <w:kern w:val="0"/>
          <w:sz w:val="24"/>
          <w:lang w:bidi="ar"/>
        </w:rPr>
      </w:pPr>
    </w:p>
    <w:p>
      <w:pPr>
        <w:rPr>
          <w:rFonts w:asciiTheme="minorEastAsia" w:hAnsiTheme="minorEastAsia" w:eastAsiaTheme="minorEastAsia" w:cstheme="minorEastAsia"/>
          <w:snapToGrid w:val="0"/>
          <w:color w:val="000000"/>
          <w:kern w:val="0"/>
          <w:sz w:val="24"/>
          <w:lang w:bidi="ar"/>
        </w:rPr>
      </w:pPr>
    </w:p>
    <w:p>
      <w:pPr>
        <w:pStyle w:val="2"/>
        <w:rPr>
          <w:rFonts w:asciiTheme="minorEastAsia" w:hAnsiTheme="minorEastAsia" w:eastAsiaTheme="minorEastAsia" w:cstheme="minorEastAsia"/>
          <w:snapToGrid w:val="0"/>
          <w:color w:val="000000"/>
          <w:kern w:val="0"/>
          <w:sz w:val="24"/>
          <w:lang w:bidi="ar"/>
        </w:rPr>
      </w:pPr>
    </w:p>
    <w:p>
      <w:pPr>
        <w:pStyle w:val="3"/>
        <w:rPr>
          <w:rFonts w:asciiTheme="minorEastAsia" w:hAnsiTheme="minorEastAsia" w:eastAsiaTheme="minorEastAsia" w:cstheme="minorEastAsia"/>
          <w:snapToGrid w:val="0"/>
          <w:color w:val="000000"/>
          <w:kern w:val="0"/>
          <w:sz w:val="24"/>
          <w:lang w:bidi="ar"/>
        </w:rPr>
      </w:pPr>
    </w:p>
    <w:p>
      <w:pPr>
        <w:rPr>
          <w:rFonts w:asciiTheme="minorEastAsia" w:hAnsiTheme="minorEastAsia" w:eastAsiaTheme="minorEastAsia" w:cstheme="minorEastAsia"/>
          <w:snapToGrid w:val="0"/>
          <w:color w:val="000000"/>
          <w:kern w:val="0"/>
          <w:sz w:val="24"/>
          <w:lang w:bidi="ar"/>
        </w:rPr>
      </w:pPr>
    </w:p>
    <w:p>
      <w:pPr>
        <w:pStyle w:val="2"/>
        <w:rPr>
          <w:rFonts w:asciiTheme="minorEastAsia" w:hAnsiTheme="minorEastAsia" w:eastAsiaTheme="minorEastAsia" w:cstheme="minorEastAsia"/>
          <w:snapToGrid w:val="0"/>
          <w:color w:val="000000"/>
          <w:kern w:val="0"/>
          <w:sz w:val="24"/>
          <w:lang w:bidi="ar"/>
        </w:rPr>
      </w:pPr>
    </w:p>
    <w:p>
      <w:pPr>
        <w:pStyle w:val="3"/>
        <w:rPr>
          <w:rFonts w:asciiTheme="minorEastAsia" w:hAnsiTheme="minorEastAsia" w:eastAsiaTheme="minorEastAsia" w:cstheme="minorEastAsia"/>
          <w:snapToGrid w:val="0"/>
          <w:color w:val="000000"/>
          <w:kern w:val="0"/>
          <w:sz w:val="24"/>
          <w:lang w:bidi="ar"/>
        </w:rPr>
      </w:pPr>
    </w:p>
    <w:p>
      <w:pPr>
        <w:rPr>
          <w:rFonts w:asciiTheme="minorEastAsia" w:hAnsiTheme="minorEastAsia" w:eastAsiaTheme="minorEastAsia" w:cstheme="minorEastAsia"/>
          <w:snapToGrid w:val="0"/>
          <w:color w:val="000000"/>
          <w:kern w:val="0"/>
          <w:sz w:val="24"/>
          <w:lang w:bidi="ar"/>
        </w:rPr>
      </w:pPr>
    </w:p>
    <w:p>
      <w:pPr>
        <w:pStyle w:val="2"/>
        <w:rPr>
          <w:rFonts w:asciiTheme="minorEastAsia" w:hAnsiTheme="minorEastAsia" w:eastAsiaTheme="minorEastAsia" w:cstheme="minorEastAsia"/>
          <w:snapToGrid w:val="0"/>
          <w:color w:val="000000"/>
          <w:kern w:val="0"/>
          <w:sz w:val="24"/>
          <w:lang w:bidi="ar"/>
        </w:rPr>
      </w:pPr>
    </w:p>
    <w:p>
      <w:pPr>
        <w:pStyle w:val="3"/>
        <w:rPr>
          <w:rFonts w:asciiTheme="minorEastAsia" w:hAnsiTheme="minorEastAsia" w:eastAsiaTheme="minorEastAsia" w:cstheme="minorEastAsia"/>
          <w:snapToGrid w:val="0"/>
          <w:color w:val="000000"/>
          <w:kern w:val="0"/>
          <w:sz w:val="24"/>
          <w:lang w:bidi="ar"/>
        </w:rPr>
      </w:pPr>
    </w:p>
    <w:p>
      <w:pPr>
        <w:rPr>
          <w:rFonts w:asciiTheme="minorEastAsia" w:hAnsiTheme="minorEastAsia" w:eastAsiaTheme="minorEastAsia" w:cstheme="minorEastAsia"/>
          <w:snapToGrid w:val="0"/>
          <w:color w:val="000000"/>
          <w:kern w:val="0"/>
          <w:sz w:val="24"/>
          <w:lang w:bidi="ar"/>
        </w:rPr>
      </w:pPr>
    </w:p>
    <w:p>
      <w:pPr>
        <w:pStyle w:val="2"/>
        <w:rPr>
          <w:rFonts w:asciiTheme="minorEastAsia" w:hAnsiTheme="minorEastAsia" w:eastAsiaTheme="minorEastAsia" w:cstheme="minorEastAsia"/>
          <w:snapToGrid w:val="0"/>
          <w:color w:val="000000"/>
          <w:kern w:val="0"/>
          <w:sz w:val="24"/>
          <w:lang w:bidi="ar"/>
        </w:rPr>
      </w:pPr>
    </w:p>
    <w:p>
      <w:pPr>
        <w:pStyle w:val="3"/>
        <w:rPr>
          <w:rFonts w:asciiTheme="minorEastAsia" w:hAnsiTheme="minorEastAsia" w:eastAsiaTheme="minorEastAsia" w:cstheme="minorEastAsia"/>
          <w:snapToGrid w:val="0"/>
          <w:color w:val="000000"/>
          <w:kern w:val="0"/>
          <w:sz w:val="24"/>
          <w:lang w:bidi="ar"/>
        </w:rPr>
      </w:pPr>
    </w:p>
    <w:p>
      <w:pPr>
        <w:rPr>
          <w:rFonts w:asciiTheme="minorEastAsia" w:hAnsiTheme="minorEastAsia" w:eastAsiaTheme="minorEastAsia" w:cstheme="minorEastAsia"/>
          <w:snapToGrid w:val="0"/>
          <w:color w:val="000000"/>
          <w:kern w:val="0"/>
          <w:sz w:val="24"/>
          <w:lang w:bidi="ar"/>
        </w:rPr>
      </w:pPr>
    </w:p>
    <w:p>
      <w:pPr>
        <w:pStyle w:val="2"/>
        <w:rPr>
          <w:rFonts w:asciiTheme="minorEastAsia" w:hAnsiTheme="minorEastAsia" w:eastAsiaTheme="minorEastAsia" w:cstheme="minorEastAsia"/>
          <w:snapToGrid w:val="0"/>
          <w:color w:val="000000"/>
          <w:kern w:val="0"/>
          <w:sz w:val="24"/>
          <w:lang w:bidi="ar"/>
        </w:rPr>
      </w:pPr>
    </w:p>
    <w:p>
      <w:pPr>
        <w:pStyle w:val="3"/>
        <w:rPr>
          <w:rFonts w:asciiTheme="minorEastAsia" w:hAnsiTheme="minorEastAsia" w:eastAsiaTheme="minorEastAsia" w:cstheme="minorEastAsia"/>
          <w:snapToGrid w:val="0"/>
          <w:color w:val="000000"/>
          <w:kern w:val="0"/>
          <w:sz w:val="24"/>
          <w:lang w:bidi="ar"/>
        </w:rPr>
      </w:pPr>
    </w:p>
    <w:p>
      <w:pPr>
        <w:rPr>
          <w:rFonts w:asciiTheme="minorEastAsia" w:hAnsiTheme="minorEastAsia" w:eastAsiaTheme="minorEastAsia" w:cstheme="minorEastAsia"/>
          <w:snapToGrid w:val="0"/>
          <w:color w:val="000000"/>
          <w:kern w:val="0"/>
          <w:sz w:val="24"/>
          <w:lang w:bidi="ar"/>
        </w:rPr>
      </w:pPr>
    </w:p>
    <w:p>
      <w:pPr>
        <w:pStyle w:val="2"/>
        <w:rPr>
          <w:rFonts w:asciiTheme="minorEastAsia" w:hAnsiTheme="minorEastAsia" w:eastAsiaTheme="minorEastAsia" w:cstheme="minorEastAsia"/>
          <w:snapToGrid w:val="0"/>
          <w:color w:val="000000"/>
          <w:kern w:val="0"/>
          <w:sz w:val="24"/>
          <w:lang w:bidi="ar"/>
        </w:rPr>
      </w:pPr>
    </w:p>
    <w:p>
      <w:pPr>
        <w:pStyle w:val="3"/>
        <w:rPr>
          <w:rFonts w:asciiTheme="minorEastAsia" w:hAnsiTheme="minorEastAsia" w:eastAsiaTheme="minorEastAsia" w:cstheme="minorEastAsia"/>
          <w:snapToGrid w:val="0"/>
          <w:color w:val="000000"/>
          <w:kern w:val="0"/>
          <w:sz w:val="24"/>
          <w:lang w:bidi="ar"/>
        </w:rPr>
      </w:pPr>
    </w:p>
    <w:p>
      <w:pPr>
        <w:rPr>
          <w:rFonts w:asciiTheme="minorEastAsia" w:hAnsiTheme="minorEastAsia" w:eastAsiaTheme="minorEastAsia" w:cstheme="minorEastAsia"/>
          <w:snapToGrid w:val="0"/>
          <w:color w:val="000000"/>
          <w:kern w:val="0"/>
          <w:sz w:val="24"/>
          <w:lang w:bidi="ar"/>
        </w:rPr>
      </w:pPr>
    </w:p>
    <w:p>
      <w:pPr>
        <w:pStyle w:val="2"/>
        <w:rPr>
          <w:rFonts w:asciiTheme="minorEastAsia" w:hAnsiTheme="minorEastAsia" w:eastAsiaTheme="minorEastAsia" w:cstheme="minorEastAsia"/>
          <w:snapToGrid w:val="0"/>
          <w:color w:val="000000"/>
          <w:kern w:val="0"/>
          <w:sz w:val="24"/>
          <w:lang w:bidi="ar"/>
        </w:rPr>
      </w:pPr>
    </w:p>
    <w:p>
      <w:pPr>
        <w:pStyle w:val="3"/>
        <w:rPr>
          <w:rFonts w:asciiTheme="minorEastAsia" w:hAnsiTheme="minorEastAsia" w:eastAsiaTheme="minorEastAsia" w:cstheme="minorEastAsia"/>
          <w:snapToGrid w:val="0"/>
          <w:color w:val="000000"/>
          <w:kern w:val="0"/>
          <w:sz w:val="24"/>
          <w:lang w:bidi="ar"/>
        </w:rPr>
      </w:pPr>
    </w:p>
    <w:p>
      <w:pPr>
        <w:rPr>
          <w:rFonts w:asciiTheme="minorEastAsia" w:hAnsiTheme="minorEastAsia" w:eastAsiaTheme="minorEastAsia" w:cstheme="minorEastAsia"/>
          <w:snapToGrid w:val="0"/>
          <w:color w:val="000000"/>
          <w:kern w:val="0"/>
          <w:sz w:val="24"/>
          <w:lang w:bidi="ar"/>
        </w:rPr>
      </w:pPr>
    </w:p>
    <w:p>
      <w:pPr>
        <w:pStyle w:val="2"/>
        <w:rPr>
          <w:rFonts w:asciiTheme="minorEastAsia" w:hAnsiTheme="minorEastAsia" w:eastAsiaTheme="minorEastAsia" w:cstheme="minorEastAsia"/>
          <w:snapToGrid w:val="0"/>
          <w:color w:val="000000"/>
          <w:kern w:val="0"/>
          <w:sz w:val="24"/>
          <w:lang w:bidi="ar"/>
        </w:rPr>
      </w:pPr>
    </w:p>
    <w:p>
      <w:pPr>
        <w:pStyle w:val="3"/>
        <w:rPr>
          <w:rFonts w:asciiTheme="minorEastAsia" w:hAnsiTheme="minorEastAsia" w:eastAsiaTheme="minorEastAsia" w:cstheme="minorEastAsia"/>
          <w:snapToGrid w:val="0"/>
          <w:color w:val="000000"/>
          <w:kern w:val="0"/>
          <w:sz w:val="24"/>
          <w:lang w:bidi="ar"/>
        </w:rPr>
      </w:pPr>
    </w:p>
    <w:p>
      <w:pPr>
        <w:rPr>
          <w:rFonts w:asciiTheme="minorEastAsia" w:hAnsiTheme="minorEastAsia" w:eastAsiaTheme="minorEastAsia" w:cstheme="minorEastAsia"/>
          <w:snapToGrid w:val="0"/>
          <w:color w:val="000000"/>
          <w:kern w:val="0"/>
          <w:sz w:val="24"/>
          <w:lang w:bidi="ar"/>
        </w:rPr>
      </w:pPr>
    </w:p>
    <w:p>
      <w:pPr>
        <w:pStyle w:val="2"/>
        <w:rPr>
          <w:rFonts w:asciiTheme="minorEastAsia" w:hAnsiTheme="minorEastAsia" w:eastAsiaTheme="minorEastAsia" w:cstheme="minorEastAsia"/>
          <w:snapToGrid w:val="0"/>
          <w:color w:val="000000"/>
          <w:kern w:val="0"/>
          <w:sz w:val="24"/>
          <w:lang w:bidi="ar"/>
        </w:rPr>
      </w:pPr>
    </w:p>
    <w:p>
      <w:pPr>
        <w:pStyle w:val="3"/>
      </w:pPr>
    </w:p>
    <w:p>
      <w:pPr>
        <w:spacing w:line="360" w:lineRule="auto"/>
        <w:ind w:firstLine="435"/>
        <w:jc w:val="center"/>
        <w:outlineLvl w:val="1"/>
        <w:rPr>
          <w:rFonts w:ascii="宋体" w:hAnsi="宋体" w:eastAsia="宋体"/>
          <w:b/>
          <w:sz w:val="30"/>
          <w:szCs w:val="30"/>
        </w:rPr>
      </w:pPr>
      <w:bookmarkStart w:id="0" w:name="_Toc63440920"/>
      <w:r>
        <w:rPr>
          <w:rFonts w:hint="eastAsia" w:ascii="宋体" w:hAnsi="宋体" w:eastAsia="宋体"/>
          <w:b/>
          <w:sz w:val="30"/>
          <w:szCs w:val="30"/>
        </w:rPr>
        <w:t xml:space="preserve">  评审方法和标准</w:t>
      </w:r>
      <w:bookmarkEnd w:id="0"/>
    </w:p>
    <w:p>
      <w:pPr>
        <w:spacing w:line="360" w:lineRule="auto"/>
        <w:ind w:firstLine="435"/>
        <w:rPr>
          <w:rFonts w:ascii="宋体" w:hAnsi="宋体" w:eastAsia="宋体" w:cs="宋体"/>
          <w:sz w:val="24"/>
        </w:rPr>
      </w:pPr>
    </w:p>
    <w:p>
      <w:pPr>
        <w:spacing w:line="360" w:lineRule="auto"/>
        <w:ind w:firstLine="437"/>
        <w:outlineLvl w:val="2"/>
        <w:rPr>
          <w:rFonts w:ascii="宋体" w:hAnsi="宋体" w:eastAsia="宋体" w:cs="宋体"/>
          <w:b/>
          <w:sz w:val="24"/>
        </w:rPr>
      </w:pPr>
      <w:r>
        <w:rPr>
          <w:rFonts w:hint="eastAsia" w:ascii="宋体" w:hAnsi="宋体" w:cs="宋体"/>
          <w:b/>
          <w:sz w:val="24"/>
        </w:rPr>
        <w:t>一</w:t>
      </w:r>
      <w:r>
        <w:rPr>
          <w:rFonts w:hint="eastAsia" w:ascii="宋体" w:hAnsi="宋体" w:eastAsia="宋体" w:cs="宋体"/>
          <w:b/>
          <w:sz w:val="24"/>
        </w:rPr>
        <w:t>、评审方法</w:t>
      </w:r>
    </w:p>
    <w:p>
      <w:pPr>
        <w:spacing w:line="360" w:lineRule="auto"/>
        <w:ind w:firstLine="435"/>
        <w:rPr>
          <w:rFonts w:ascii="宋体" w:hAnsi="宋体" w:eastAsia="宋体" w:cs="宋体"/>
          <w:sz w:val="24"/>
        </w:rPr>
      </w:pPr>
      <w:r>
        <w:rPr>
          <w:rFonts w:hint="eastAsia" w:ascii="宋体" w:hAnsi="宋体" w:cs="宋体"/>
          <w:sz w:val="24"/>
        </w:rPr>
        <w:t>1</w:t>
      </w:r>
      <w:r>
        <w:rPr>
          <w:rFonts w:hint="eastAsia" w:ascii="宋体" w:hAnsi="宋体" w:eastAsia="宋体" w:cs="宋体"/>
          <w:sz w:val="24"/>
        </w:rPr>
        <w:t>.1初审</w:t>
      </w:r>
    </w:p>
    <w:p>
      <w:pPr>
        <w:spacing w:line="360" w:lineRule="auto"/>
        <w:ind w:firstLine="435"/>
        <w:rPr>
          <w:rFonts w:ascii="宋体" w:hAnsi="宋体" w:eastAsia="宋体" w:cs="宋体"/>
          <w:sz w:val="24"/>
        </w:rPr>
      </w:pPr>
      <w:r>
        <w:rPr>
          <w:rFonts w:hint="eastAsia" w:ascii="宋体" w:hAnsi="宋体" w:cs="宋体"/>
          <w:sz w:val="24"/>
        </w:rPr>
        <w:t>比选</w:t>
      </w:r>
      <w:r>
        <w:rPr>
          <w:rFonts w:hint="eastAsia" w:ascii="宋体" w:hAnsi="宋体" w:eastAsia="宋体" w:cs="宋体"/>
          <w:sz w:val="24"/>
        </w:rPr>
        <w:t>小组对供应商的响应文件进行初审，以确定其是否满足</w:t>
      </w:r>
      <w:r>
        <w:rPr>
          <w:rFonts w:hint="eastAsia" w:ascii="宋体" w:hAnsi="宋体" w:cs="宋体"/>
          <w:sz w:val="24"/>
        </w:rPr>
        <w:t>比选</w:t>
      </w:r>
      <w:r>
        <w:rPr>
          <w:rFonts w:hint="eastAsia" w:ascii="宋体" w:hAnsi="宋体" w:eastAsia="宋体" w:cs="宋体"/>
          <w:sz w:val="24"/>
        </w:rPr>
        <w:t>文件的实质性要求。初审表如下：</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7"/>
        <w:gridCol w:w="2766"/>
        <w:gridCol w:w="1157"/>
        <w:gridCol w:w="3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000" w:type="pct"/>
            <w:gridSpan w:val="4"/>
            <w:tcBorders>
              <w:bottom w:val="single" w:color="auto" w:sz="4" w:space="0"/>
            </w:tcBorders>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b/>
                <w:sz w:val="24"/>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tcBorders>
              <w:bottom w:val="single" w:color="auto" w:sz="4" w:space="0"/>
            </w:tcBorders>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序号</w:t>
            </w:r>
          </w:p>
        </w:tc>
        <w:tc>
          <w:tcPr>
            <w:tcW w:w="1623" w:type="pct"/>
            <w:tcBorders>
              <w:bottom w:val="single" w:color="auto" w:sz="4" w:space="0"/>
            </w:tcBorders>
            <w:vAlign w:val="center"/>
          </w:tcPr>
          <w:p>
            <w:pPr>
              <w:pStyle w:val="11"/>
              <w:pBdr>
                <w:bottom w:val="none" w:color="auto" w:sz="0" w:space="0"/>
              </w:pBdr>
              <w:tabs>
                <w:tab w:val="clear" w:pos="4153"/>
                <w:tab w:val="clear" w:pos="8306"/>
              </w:tabs>
              <w:snapToGrid w:val="0"/>
              <w:spacing w:line="360" w:lineRule="auto"/>
              <w:ind w:right="-10"/>
              <w:textAlignment w:val="auto"/>
              <w:rPr>
                <w:rFonts w:ascii="宋体" w:hAnsi="宋体" w:eastAsia="宋体" w:cs="宋体"/>
                <w:kern w:val="2"/>
                <w:szCs w:val="24"/>
              </w:rPr>
            </w:pPr>
            <w:r>
              <w:rPr>
                <w:rFonts w:hint="eastAsia" w:ascii="宋体" w:hAnsi="宋体" w:eastAsia="宋体" w:cs="宋体"/>
                <w:kern w:val="2"/>
                <w:szCs w:val="24"/>
              </w:rPr>
              <w:t>评审指标</w:t>
            </w:r>
          </w:p>
        </w:tc>
        <w:tc>
          <w:tcPr>
            <w:tcW w:w="2961" w:type="pct"/>
            <w:gridSpan w:val="2"/>
            <w:tcBorders>
              <w:bottom w:val="single" w:color="auto" w:sz="4" w:space="0"/>
            </w:tcBorders>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trPr>
        <w:tc>
          <w:tcPr>
            <w:tcW w:w="415" w:type="pct"/>
            <w:tcBorders>
              <w:bottom w:val="single" w:color="auto" w:sz="4" w:space="0"/>
            </w:tcBorders>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1</w:t>
            </w:r>
          </w:p>
        </w:tc>
        <w:tc>
          <w:tcPr>
            <w:tcW w:w="1623" w:type="pct"/>
            <w:tcBorders>
              <w:bottom w:val="single" w:color="auto" w:sz="4" w:space="0"/>
            </w:tcBorders>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营业执照</w:t>
            </w:r>
          </w:p>
        </w:tc>
        <w:tc>
          <w:tcPr>
            <w:tcW w:w="679" w:type="pct"/>
            <w:tcBorders>
              <w:bottom w:val="single" w:color="auto" w:sz="4" w:space="0"/>
            </w:tcBorders>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合法有效</w:t>
            </w:r>
          </w:p>
        </w:tc>
        <w:tc>
          <w:tcPr>
            <w:tcW w:w="2281" w:type="pct"/>
            <w:vMerge w:val="restart"/>
            <w:vAlign w:val="center"/>
          </w:tcPr>
          <w:p>
            <w:pPr>
              <w:spacing w:line="360" w:lineRule="auto"/>
              <w:jc w:val="left"/>
              <w:rPr>
                <w:rFonts w:ascii="宋体" w:hAnsi="宋体" w:eastAsia="宋体" w:cs="宋体"/>
                <w:sz w:val="24"/>
              </w:rPr>
            </w:pPr>
            <w:r>
              <w:rPr>
                <w:rFonts w:hint="eastAsia" w:ascii="宋体" w:hAnsi="宋体" w:eastAsia="宋体" w:cs="宋体"/>
                <w:sz w:val="24"/>
              </w:rPr>
              <w:t>提供有效的供应商营业执照（或事业单位法人登记证书）和税务登记证的扫描件或影印件，应完整的体现出营业执照（</w:t>
            </w:r>
            <w:bookmarkStart w:id="1" w:name="_GoBack"/>
            <w:bookmarkEnd w:id="1"/>
            <w:r>
              <w:rPr>
                <w:rFonts w:hint="eastAsia" w:ascii="宋体" w:hAnsi="宋体" w:eastAsia="宋体" w:cs="宋体"/>
                <w:sz w:val="24"/>
              </w:rPr>
              <w:t>或事业单位法人登记证书）和税务登记证的全部内容。已办理“三证合一”登记的，响应文件中提供营业执照（或事业单位法人登记证书）扫描件即可。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tcBorders>
              <w:bottom w:val="single" w:color="auto" w:sz="4" w:space="0"/>
            </w:tcBorders>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2</w:t>
            </w:r>
          </w:p>
        </w:tc>
        <w:tc>
          <w:tcPr>
            <w:tcW w:w="1623" w:type="pct"/>
            <w:tcBorders>
              <w:bottom w:val="single" w:color="auto" w:sz="4" w:space="0"/>
            </w:tcBorders>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税务登记证</w:t>
            </w:r>
          </w:p>
        </w:tc>
        <w:tc>
          <w:tcPr>
            <w:tcW w:w="679" w:type="pct"/>
            <w:tcBorders>
              <w:bottom w:val="single" w:color="auto" w:sz="4" w:space="0"/>
            </w:tcBorders>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合法有效</w:t>
            </w:r>
          </w:p>
        </w:tc>
        <w:tc>
          <w:tcPr>
            <w:tcW w:w="2281" w:type="pct"/>
            <w:vMerge w:val="continue"/>
            <w:tcBorders>
              <w:bottom w:val="single" w:color="auto" w:sz="4" w:space="0"/>
            </w:tcBorders>
            <w:vAlign w:val="center"/>
          </w:tcPr>
          <w:p>
            <w:pPr>
              <w:adjustRightInd w:val="0"/>
              <w:snapToGrid w:val="0"/>
              <w:spacing w:line="360" w:lineRule="auto"/>
              <w:ind w:right="-10"/>
              <w:jc w:val="left"/>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tcBorders>
              <w:bottom w:val="single" w:color="auto" w:sz="4" w:space="0"/>
            </w:tcBorders>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3</w:t>
            </w:r>
          </w:p>
        </w:tc>
        <w:tc>
          <w:tcPr>
            <w:tcW w:w="1623" w:type="pct"/>
            <w:tcBorders>
              <w:bottom w:val="single" w:color="auto" w:sz="4" w:space="0"/>
            </w:tcBorders>
            <w:vAlign w:val="center"/>
          </w:tcPr>
          <w:p>
            <w:pPr>
              <w:spacing w:before="40" w:line="360" w:lineRule="auto"/>
              <w:ind w:left="129" w:right="235" w:firstLine="14"/>
              <w:jc w:val="center"/>
              <w:rPr>
                <w:rFonts w:hint="eastAsia" w:ascii="宋体" w:hAnsi="宋体" w:eastAsia="宋体" w:cs="宋体"/>
                <w:sz w:val="24"/>
              </w:rPr>
            </w:pPr>
            <w:r>
              <w:rPr>
                <w:rFonts w:hint="eastAsia" w:ascii="宋体" w:hAnsi="宋体" w:eastAsia="宋体" w:cs="宋体"/>
                <w:sz w:val="24"/>
              </w:rPr>
              <w:t>送餐或配送资质</w:t>
            </w:r>
          </w:p>
        </w:tc>
        <w:tc>
          <w:tcPr>
            <w:tcW w:w="2961" w:type="pct"/>
            <w:gridSpan w:val="2"/>
            <w:tcBorders>
              <w:bottom w:val="single" w:color="auto" w:sz="4" w:space="0"/>
            </w:tcBorders>
            <w:vAlign w:val="center"/>
          </w:tcPr>
          <w:p>
            <w:pPr>
              <w:adjustRightInd w:val="0"/>
              <w:snapToGrid w:val="0"/>
              <w:spacing w:line="360" w:lineRule="auto"/>
              <w:ind w:right="-10"/>
              <w:jc w:val="left"/>
              <w:rPr>
                <w:rFonts w:ascii="宋体" w:hAnsi="宋体" w:eastAsia="宋体" w:cs="宋体"/>
                <w:sz w:val="24"/>
              </w:rPr>
            </w:pPr>
            <w:r>
              <w:rPr>
                <w:rFonts w:hint="eastAsia" w:ascii="宋体" w:hAnsi="宋体" w:eastAsia="宋体" w:cs="宋体"/>
                <w:color w:val="333333"/>
                <w:sz w:val="24"/>
                <w:shd w:val="clear" w:color="auto" w:fill="FFFFFF"/>
              </w:rPr>
              <w:t xml:space="preserve"> </w:t>
            </w:r>
            <w:r>
              <w:rPr>
                <w:rFonts w:hint="eastAsia" w:ascii="宋体" w:hAnsi="宋体" w:eastAsia="宋体" w:cs="宋体"/>
                <w:spacing w:val="-5"/>
                <w:sz w:val="24"/>
              </w:rPr>
              <w:t>有效提供有效的送餐或配送资质扫描件</w:t>
            </w:r>
            <w:r>
              <w:rPr>
                <w:rFonts w:hint="eastAsia" w:ascii="宋体" w:hAnsi="宋体" w:eastAsia="宋体" w:cs="宋体"/>
                <w:spacing w:val="-7"/>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tcBorders>
              <w:bottom w:val="single" w:color="auto" w:sz="4" w:space="0"/>
            </w:tcBorders>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4</w:t>
            </w:r>
          </w:p>
        </w:tc>
        <w:tc>
          <w:tcPr>
            <w:tcW w:w="1623" w:type="pct"/>
            <w:tcBorders>
              <w:bottom w:val="single" w:color="auto" w:sz="4" w:space="0"/>
            </w:tcBorders>
            <w:vAlign w:val="center"/>
          </w:tcPr>
          <w:p>
            <w:pPr>
              <w:spacing w:before="40" w:line="360" w:lineRule="auto"/>
              <w:ind w:left="129" w:right="235" w:firstLine="14"/>
              <w:jc w:val="center"/>
              <w:rPr>
                <w:rFonts w:hint="eastAsia" w:ascii="宋体" w:hAnsi="宋体" w:eastAsia="宋体" w:cs="宋体"/>
                <w:sz w:val="24"/>
              </w:rPr>
            </w:pPr>
            <w:r>
              <w:rPr>
                <w:rFonts w:hint="eastAsia" w:ascii="宋体" w:hAnsi="宋体" w:eastAsia="宋体" w:cs="宋体"/>
                <w:sz w:val="24"/>
              </w:rPr>
              <w:t>比选报价</w:t>
            </w:r>
          </w:p>
        </w:tc>
        <w:tc>
          <w:tcPr>
            <w:tcW w:w="2961" w:type="pct"/>
            <w:gridSpan w:val="2"/>
            <w:tcBorders>
              <w:bottom w:val="single" w:color="auto" w:sz="4" w:space="0"/>
            </w:tcBorders>
            <w:vAlign w:val="center"/>
          </w:tcPr>
          <w:p>
            <w:pPr>
              <w:adjustRightInd w:val="0"/>
              <w:snapToGrid w:val="0"/>
              <w:spacing w:line="360" w:lineRule="auto"/>
              <w:ind w:right="-10"/>
              <w:jc w:val="left"/>
              <w:rPr>
                <w:rFonts w:ascii="宋体" w:hAnsi="宋体" w:eastAsia="宋体" w:cs="宋体"/>
                <w:sz w:val="24"/>
              </w:rPr>
            </w:pPr>
            <w:r>
              <w:rPr>
                <w:rFonts w:hint="eastAsia" w:ascii="宋体" w:hAnsi="宋体" w:eastAsia="宋体" w:cs="宋体"/>
                <w:spacing w:val="-5"/>
                <w:sz w:val="24"/>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tcBorders>
              <w:bottom w:val="single" w:color="auto" w:sz="4" w:space="0"/>
            </w:tcBorders>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5</w:t>
            </w:r>
          </w:p>
        </w:tc>
        <w:tc>
          <w:tcPr>
            <w:tcW w:w="1623" w:type="pct"/>
            <w:tcBorders>
              <w:bottom w:val="single" w:color="auto" w:sz="4" w:space="0"/>
            </w:tcBorders>
            <w:vAlign w:val="center"/>
          </w:tcPr>
          <w:p>
            <w:pPr>
              <w:spacing w:before="40" w:line="360" w:lineRule="auto"/>
              <w:ind w:left="129" w:right="235" w:firstLine="14"/>
              <w:jc w:val="center"/>
              <w:rPr>
                <w:rFonts w:hint="eastAsia" w:ascii="宋体" w:hAnsi="宋体" w:eastAsia="宋体" w:cs="宋体"/>
                <w:sz w:val="24"/>
              </w:rPr>
            </w:pPr>
            <w:r>
              <w:rPr>
                <w:rFonts w:hint="eastAsia" w:ascii="宋体" w:hAnsi="宋体" w:eastAsia="宋体" w:cs="宋体"/>
                <w:sz w:val="24"/>
              </w:rPr>
              <w:t>比选响应函</w:t>
            </w:r>
          </w:p>
        </w:tc>
        <w:tc>
          <w:tcPr>
            <w:tcW w:w="2961" w:type="pct"/>
            <w:gridSpan w:val="2"/>
            <w:tcBorders>
              <w:bottom w:val="single" w:color="auto" w:sz="4" w:space="0"/>
            </w:tcBorders>
            <w:vAlign w:val="center"/>
          </w:tcPr>
          <w:p>
            <w:pPr>
              <w:spacing w:before="39" w:line="360" w:lineRule="auto"/>
              <w:rPr>
                <w:rFonts w:ascii="宋体" w:hAnsi="宋体" w:eastAsia="宋体" w:cs="宋体"/>
                <w:sz w:val="24"/>
              </w:rPr>
            </w:pPr>
            <w:r>
              <w:rPr>
                <w:rFonts w:hint="eastAsia" w:ascii="宋体" w:hAnsi="宋体" w:eastAsia="宋体" w:cs="宋体"/>
                <w:spacing w:val="-5"/>
                <w:sz w:val="24"/>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tcBorders>
              <w:bottom w:val="single" w:color="auto" w:sz="4" w:space="0"/>
            </w:tcBorders>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6</w:t>
            </w:r>
          </w:p>
        </w:tc>
        <w:tc>
          <w:tcPr>
            <w:tcW w:w="1623" w:type="pct"/>
            <w:tcBorders>
              <w:bottom w:val="single" w:color="auto" w:sz="4" w:space="0"/>
            </w:tcBorders>
            <w:vAlign w:val="center"/>
          </w:tcPr>
          <w:p>
            <w:pPr>
              <w:spacing w:before="40" w:line="360" w:lineRule="auto"/>
              <w:ind w:left="129" w:right="235" w:firstLine="14"/>
              <w:jc w:val="center"/>
              <w:rPr>
                <w:rFonts w:ascii="宋体" w:hAnsi="宋体" w:eastAsia="宋体" w:cs="宋体"/>
                <w:spacing w:val="-1"/>
                <w:sz w:val="24"/>
              </w:rPr>
            </w:pPr>
            <w:r>
              <w:rPr>
                <w:rFonts w:hint="eastAsia" w:ascii="宋体" w:hAnsi="宋体" w:eastAsia="宋体" w:cs="宋体"/>
                <w:sz w:val="24"/>
              </w:rPr>
              <w:t>无重大违法记录声明函、无不良信用记录声明函</w:t>
            </w:r>
          </w:p>
        </w:tc>
        <w:tc>
          <w:tcPr>
            <w:tcW w:w="2961" w:type="pct"/>
            <w:gridSpan w:val="2"/>
            <w:tcBorders>
              <w:bottom w:val="single" w:color="auto" w:sz="4" w:space="0"/>
            </w:tcBorders>
            <w:vAlign w:val="center"/>
          </w:tcPr>
          <w:p>
            <w:pPr>
              <w:spacing w:before="39" w:line="360" w:lineRule="auto"/>
              <w:rPr>
                <w:rFonts w:ascii="宋体" w:hAnsi="宋体" w:eastAsia="宋体" w:cs="宋体"/>
                <w:spacing w:val="-5"/>
                <w:sz w:val="24"/>
              </w:rPr>
            </w:pPr>
            <w:r>
              <w:rPr>
                <w:rFonts w:hint="eastAsia" w:ascii="宋体" w:hAnsi="宋体" w:eastAsia="宋体" w:cs="宋体"/>
                <w:spacing w:val="-5"/>
                <w:sz w:val="24"/>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tcBorders>
              <w:bottom w:val="single" w:color="auto" w:sz="4" w:space="0"/>
            </w:tcBorders>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7</w:t>
            </w:r>
          </w:p>
        </w:tc>
        <w:tc>
          <w:tcPr>
            <w:tcW w:w="1623" w:type="pct"/>
            <w:tcBorders>
              <w:bottom w:val="single" w:color="auto" w:sz="4" w:space="0"/>
            </w:tcBorders>
            <w:vAlign w:val="center"/>
          </w:tcPr>
          <w:p>
            <w:pPr>
              <w:spacing w:before="40" w:line="360" w:lineRule="auto"/>
              <w:ind w:left="129" w:right="235" w:firstLine="14"/>
              <w:jc w:val="center"/>
              <w:rPr>
                <w:rFonts w:ascii="宋体" w:hAnsi="宋体" w:eastAsia="宋体" w:cs="宋体"/>
                <w:spacing w:val="-1"/>
                <w:sz w:val="24"/>
              </w:rPr>
            </w:pPr>
            <w:r>
              <w:rPr>
                <w:rFonts w:hint="eastAsia" w:ascii="宋体" w:hAnsi="宋体" w:eastAsia="宋体" w:cs="宋体"/>
                <w:spacing w:val="-1"/>
                <w:sz w:val="24"/>
              </w:rPr>
              <w:t>授权书</w:t>
            </w:r>
          </w:p>
        </w:tc>
        <w:tc>
          <w:tcPr>
            <w:tcW w:w="2961" w:type="pct"/>
            <w:gridSpan w:val="2"/>
            <w:tcBorders>
              <w:bottom w:val="single" w:color="auto" w:sz="4" w:space="0"/>
            </w:tcBorders>
            <w:vAlign w:val="center"/>
          </w:tcPr>
          <w:p>
            <w:pPr>
              <w:spacing w:before="39" w:line="360" w:lineRule="auto"/>
              <w:rPr>
                <w:rFonts w:ascii="宋体" w:hAnsi="宋体" w:eastAsia="宋体" w:cs="宋体"/>
                <w:spacing w:val="-5"/>
                <w:sz w:val="24"/>
              </w:rPr>
            </w:pPr>
            <w:r>
              <w:rPr>
                <w:rFonts w:hint="eastAsia" w:ascii="宋体" w:hAnsi="宋体" w:eastAsia="宋体" w:cs="宋体"/>
                <w:spacing w:val="-5"/>
                <w:sz w:val="24"/>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tcBorders>
              <w:bottom w:val="single" w:color="auto" w:sz="4" w:space="0"/>
            </w:tcBorders>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8</w:t>
            </w:r>
          </w:p>
        </w:tc>
        <w:tc>
          <w:tcPr>
            <w:tcW w:w="2791" w:type="dxa"/>
            <w:tcBorders>
              <w:bottom w:val="single" w:color="auto" w:sz="4" w:space="0"/>
            </w:tcBorders>
            <w:vAlign w:val="center"/>
          </w:tcPr>
          <w:p>
            <w:pPr>
              <w:spacing w:before="40" w:line="360" w:lineRule="auto"/>
              <w:ind w:left="129" w:right="235" w:firstLine="14"/>
              <w:jc w:val="center"/>
              <w:rPr>
                <w:rFonts w:ascii="宋体" w:hAnsi="宋体" w:eastAsia="宋体" w:cs="宋体"/>
                <w:sz w:val="24"/>
              </w:rPr>
            </w:pPr>
            <w:r>
              <w:rPr>
                <w:rFonts w:hint="eastAsia" w:ascii="宋体" w:hAnsi="宋体" w:eastAsia="宋体" w:cs="宋体"/>
                <w:spacing w:val="-1"/>
                <w:sz w:val="24"/>
              </w:rPr>
              <w:t>承诺函</w:t>
            </w:r>
          </w:p>
        </w:tc>
        <w:tc>
          <w:tcPr>
            <w:tcW w:w="2961" w:type="pct"/>
            <w:gridSpan w:val="2"/>
            <w:tcBorders>
              <w:bottom w:val="single" w:color="auto" w:sz="4" w:space="0"/>
            </w:tcBorders>
            <w:vAlign w:val="center"/>
          </w:tcPr>
          <w:p>
            <w:pPr>
              <w:adjustRightInd w:val="0"/>
              <w:snapToGrid w:val="0"/>
              <w:spacing w:line="360" w:lineRule="auto"/>
              <w:ind w:right="-10"/>
              <w:jc w:val="left"/>
              <w:rPr>
                <w:rFonts w:ascii="宋体" w:hAnsi="宋体" w:eastAsia="宋体" w:cs="宋体"/>
                <w:sz w:val="24"/>
              </w:rPr>
            </w:pPr>
            <w:r>
              <w:rPr>
                <w:rFonts w:hint="eastAsia" w:ascii="宋体" w:hAnsi="宋体" w:eastAsia="宋体" w:cs="宋体"/>
                <w:spacing w:val="-5"/>
                <w:sz w:val="24"/>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tcBorders>
              <w:bottom w:val="single" w:color="auto" w:sz="4" w:space="0"/>
            </w:tcBorders>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9</w:t>
            </w:r>
          </w:p>
        </w:tc>
        <w:tc>
          <w:tcPr>
            <w:tcW w:w="2791" w:type="dxa"/>
            <w:tcBorders>
              <w:bottom w:val="single" w:color="auto" w:sz="4" w:space="0"/>
            </w:tcBorders>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不良信用记录查询</w:t>
            </w:r>
          </w:p>
        </w:tc>
        <w:tc>
          <w:tcPr>
            <w:tcW w:w="2961" w:type="pct"/>
            <w:gridSpan w:val="2"/>
            <w:tcBorders>
              <w:bottom w:val="single" w:color="auto" w:sz="4" w:space="0"/>
            </w:tcBorders>
            <w:vAlign w:val="center"/>
          </w:tcPr>
          <w:p>
            <w:pPr>
              <w:adjustRightInd w:val="0"/>
              <w:snapToGrid w:val="0"/>
              <w:spacing w:line="360" w:lineRule="auto"/>
              <w:ind w:right="-10"/>
              <w:jc w:val="left"/>
              <w:rPr>
                <w:rFonts w:ascii="宋体" w:hAnsi="宋体" w:eastAsia="宋体" w:cs="宋体"/>
                <w:sz w:val="24"/>
              </w:rPr>
            </w:pPr>
            <w:r>
              <w:rPr>
                <w:rFonts w:hint="eastAsia" w:ascii="宋体" w:hAnsi="宋体" w:eastAsia="宋体" w:cs="宋体"/>
                <w:spacing w:val="-5"/>
                <w:sz w:val="24"/>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10</w:t>
            </w:r>
          </w:p>
        </w:tc>
        <w:tc>
          <w:tcPr>
            <w:tcW w:w="1623" w:type="pct"/>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其他要求</w:t>
            </w:r>
          </w:p>
        </w:tc>
        <w:tc>
          <w:tcPr>
            <w:tcW w:w="2961" w:type="pct"/>
            <w:gridSpan w:val="2"/>
            <w:vAlign w:val="center"/>
          </w:tcPr>
          <w:p>
            <w:pPr>
              <w:adjustRightInd w:val="0"/>
              <w:snapToGrid w:val="0"/>
              <w:spacing w:line="360" w:lineRule="auto"/>
              <w:ind w:right="-10"/>
              <w:jc w:val="left"/>
              <w:rPr>
                <w:rFonts w:ascii="宋体" w:hAnsi="宋体" w:eastAsia="宋体" w:cs="宋体"/>
                <w:sz w:val="24"/>
              </w:rPr>
            </w:pPr>
            <w:r>
              <w:rPr>
                <w:rFonts w:hint="eastAsia" w:ascii="宋体" w:hAnsi="宋体" w:eastAsia="宋体" w:cs="宋体"/>
                <w:sz w:val="24"/>
              </w:rPr>
              <w:t>符合法律、行政法规规定的其他条件或</w:t>
            </w:r>
            <w:r>
              <w:rPr>
                <w:rFonts w:hint="eastAsia" w:ascii="宋体" w:hAnsi="宋体" w:cs="宋体"/>
                <w:spacing w:val="-1"/>
                <w:sz w:val="24"/>
              </w:rPr>
              <w:t>比选</w:t>
            </w:r>
            <w:r>
              <w:rPr>
                <w:rFonts w:hint="eastAsia" w:ascii="宋体" w:hAnsi="宋体" w:eastAsia="宋体" w:cs="宋体"/>
                <w:sz w:val="24"/>
              </w:rPr>
              <w:t>文件列明的其他要求</w:t>
            </w:r>
          </w:p>
        </w:tc>
      </w:tr>
    </w:tbl>
    <w:p>
      <w:pPr>
        <w:spacing w:line="360" w:lineRule="auto"/>
        <w:ind w:firstLine="435"/>
        <w:rPr>
          <w:rFonts w:ascii="宋体" w:hAnsi="宋体" w:eastAsia="宋体" w:cs="宋体"/>
          <w:sz w:val="24"/>
        </w:rPr>
      </w:pPr>
      <w:r>
        <w:rPr>
          <w:rFonts w:hint="eastAsia" w:ascii="宋体" w:hAnsi="宋体" w:eastAsia="宋体" w:cs="宋体"/>
          <w:b/>
          <w:bCs/>
          <w:sz w:val="24"/>
        </w:rPr>
        <w:t>初审指标通过标准：</w:t>
      </w:r>
      <w:r>
        <w:rPr>
          <w:rFonts w:hint="eastAsia" w:ascii="宋体" w:hAnsi="宋体" w:eastAsia="宋体" w:cs="宋体"/>
          <w:sz w:val="24"/>
        </w:rPr>
        <w:t>供应商必须通过初审表中的全部评审指标。</w:t>
      </w:r>
    </w:p>
    <w:p>
      <w:pPr>
        <w:widowControl/>
        <w:spacing w:line="360" w:lineRule="auto"/>
        <w:jc w:val="left"/>
        <w:rPr>
          <w:rFonts w:ascii="宋体" w:hAnsi="宋体" w:eastAsia="宋体" w:cs="宋体"/>
          <w:sz w:val="24"/>
        </w:rPr>
      </w:pPr>
      <w:r>
        <w:rPr>
          <w:rFonts w:hint="eastAsia" w:ascii="宋体" w:hAnsi="宋体" w:cs="宋体"/>
          <w:color w:val="000000"/>
          <w:kern w:val="0"/>
          <w:sz w:val="24"/>
          <w:lang w:bidi="ar"/>
        </w:rPr>
        <w:t>1.</w:t>
      </w:r>
      <w:r>
        <w:rPr>
          <w:rFonts w:hint="eastAsia" w:ascii="宋体" w:hAnsi="宋体" w:eastAsia="宋体" w:cs="宋体"/>
          <w:color w:val="000000"/>
          <w:kern w:val="0"/>
          <w:sz w:val="24"/>
          <w:lang w:bidi="ar"/>
        </w:rPr>
        <w:t>2 综合评分</w:t>
      </w:r>
      <w:r>
        <w:rPr>
          <w:rFonts w:hint="eastAsia" w:ascii="宋体" w:hAnsi="宋体" w:eastAsia="宋体" w:cs="宋体"/>
          <w:b/>
          <w:bCs/>
          <w:color w:val="000000"/>
          <w:kern w:val="0"/>
          <w:sz w:val="24"/>
          <w:lang w:bidi="ar"/>
        </w:rPr>
        <w:t xml:space="preserve"> </w:t>
      </w:r>
    </w:p>
    <w:p>
      <w:pPr>
        <w:widowControl/>
        <w:spacing w:line="360" w:lineRule="auto"/>
        <w:jc w:val="left"/>
        <w:rPr>
          <w:rFonts w:ascii="宋体" w:hAnsi="宋体" w:eastAsia="宋体" w:cs="宋体"/>
          <w:sz w:val="24"/>
        </w:rPr>
      </w:pPr>
      <w:r>
        <w:rPr>
          <w:rFonts w:hint="eastAsia" w:ascii="宋体" w:hAnsi="宋体" w:cs="宋体"/>
          <w:color w:val="000000"/>
          <w:kern w:val="0"/>
          <w:sz w:val="24"/>
          <w:lang w:bidi="ar"/>
        </w:rPr>
        <w:t>1</w:t>
      </w:r>
      <w:r>
        <w:rPr>
          <w:rFonts w:hint="eastAsia" w:ascii="宋体" w:hAnsi="宋体" w:eastAsia="宋体" w:cs="宋体"/>
          <w:color w:val="000000"/>
          <w:kern w:val="0"/>
          <w:sz w:val="24"/>
          <w:lang w:bidi="ar"/>
        </w:rPr>
        <w:t xml:space="preserve">.2.1 </w:t>
      </w:r>
      <w:r>
        <w:rPr>
          <w:rFonts w:hint="eastAsia" w:ascii="宋体" w:hAnsi="宋体" w:cs="宋体"/>
          <w:spacing w:val="-1"/>
          <w:sz w:val="24"/>
        </w:rPr>
        <w:t>比选</w:t>
      </w:r>
      <w:r>
        <w:rPr>
          <w:rFonts w:hint="eastAsia" w:ascii="宋体" w:hAnsi="宋体" w:eastAsia="宋体" w:cs="宋体"/>
          <w:color w:val="000000"/>
          <w:kern w:val="0"/>
          <w:sz w:val="24"/>
          <w:lang w:bidi="ar"/>
        </w:rPr>
        <w:t xml:space="preserve">小组按照下表对进入综合评分的所有供应商的响应文件进行综合评分。 </w:t>
      </w:r>
    </w:p>
    <w:p>
      <w:pPr>
        <w:widowControl/>
        <w:spacing w:line="360" w:lineRule="auto"/>
        <w:jc w:val="left"/>
        <w:rPr>
          <w:rFonts w:ascii="宋体" w:hAnsi="宋体" w:eastAsia="宋体" w:cs="宋体"/>
          <w:sz w:val="24"/>
        </w:rPr>
      </w:pPr>
      <w:r>
        <w:rPr>
          <w:rFonts w:hint="eastAsia" w:ascii="宋体" w:hAnsi="宋体" w:cs="宋体"/>
          <w:color w:val="000000"/>
          <w:kern w:val="0"/>
          <w:sz w:val="24"/>
          <w:lang w:bidi="ar"/>
        </w:rPr>
        <w:t>1</w:t>
      </w:r>
      <w:r>
        <w:rPr>
          <w:rFonts w:hint="eastAsia" w:ascii="宋体" w:hAnsi="宋体" w:eastAsia="宋体" w:cs="宋体"/>
          <w:color w:val="000000"/>
          <w:kern w:val="0"/>
          <w:sz w:val="24"/>
          <w:lang w:bidi="ar"/>
        </w:rPr>
        <w:t xml:space="preserve">.2.2 本项目综合评分满分为 </w:t>
      </w:r>
      <w:r>
        <w:rPr>
          <w:rFonts w:hint="eastAsia" w:ascii="宋体" w:hAnsi="宋体" w:eastAsia="宋体" w:cs="宋体"/>
          <w:color w:val="000000"/>
          <w:kern w:val="0"/>
          <w:sz w:val="24"/>
          <w:u w:val="single"/>
          <w:lang w:bidi="ar"/>
        </w:rPr>
        <w:t>100 分</w:t>
      </w:r>
      <w:r>
        <w:rPr>
          <w:rFonts w:hint="eastAsia" w:ascii="宋体" w:hAnsi="宋体" w:eastAsia="宋体" w:cs="宋体"/>
          <w:color w:val="000000"/>
          <w:kern w:val="0"/>
          <w:sz w:val="24"/>
          <w:lang w:bidi="ar"/>
        </w:rPr>
        <w:t>。具体评分细则如下：</w:t>
      </w:r>
    </w:p>
    <w:tbl>
      <w:tblPr>
        <w:tblStyle w:val="9"/>
        <w:tblW w:w="83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3"/>
        <w:gridCol w:w="1350"/>
        <w:gridCol w:w="4727"/>
        <w:gridCol w:w="1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1033" w:type="dxa"/>
            <w:vAlign w:val="center"/>
          </w:tcPr>
          <w:p>
            <w:pPr>
              <w:widowControl/>
              <w:spacing w:line="360" w:lineRule="auto"/>
              <w:jc w:val="left"/>
              <w:rPr>
                <w:rFonts w:ascii="宋体" w:hAnsi="宋体" w:eastAsia="宋体" w:cs="宋体"/>
                <w:sz w:val="24"/>
              </w:rPr>
            </w:pPr>
            <w:r>
              <w:rPr>
                <w:rFonts w:hint="eastAsia" w:ascii="宋体" w:hAnsi="宋体" w:eastAsia="宋体" w:cs="宋体"/>
                <w:b/>
                <w:bCs/>
                <w:color w:val="000000"/>
                <w:kern w:val="0"/>
                <w:sz w:val="24"/>
                <w:lang w:bidi="ar"/>
              </w:rPr>
              <w:t xml:space="preserve">类别 </w:t>
            </w:r>
          </w:p>
          <w:p>
            <w:pPr>
              <w:spacing w:line="360" w:lineRule="auto"/>
              <w:jc w:val="center"/>
              <w:rPr>
                <w:rFonts w:ascii="宋体" w:hAnsi="宋体" w:eastAsia="宋体" w:cs="宋体"/>
                <w:sz w:val="24"/>
              </w:rPr>
            </w:pPr>
          </w:p>
        </w:tc>
        <w:tc>
          <w:tcPr>
            <w:tcW w:w="1350" w:type="dxa"/>
            <w:vAlign w:val="center"/>
          </w:tcPr>
          <w:p>
            <w:pPr>
              <w:widowControl/>
              <w:spacing w:line="360" w:lineRule="auto"/>
              <w:jc w:val="left"/>
              <w:rPr>
                <w:rFonts w:ascii="宋体" w:hAnsi="宋体" w:eastAsia="宋体" w:cs="宋体"/>
                <w:sz w:val="24"/>
              </w:rPr>
            </w:pPr>
            <w:r>
              <w:rPr>
                <w:rFonts w:hint="eastAsia" w:ascii="宋体" w:hAnsi="宋体" w:eastAsia="宋体" w:cs="宋体"/>
                <w:b/>
                <w:bCs/>
                <w:color w:val="000000"/>
                <w:kern w:val="0"/>
                <w:sz w:val="24"/>
                <w:lang w:bidi="ar"/>
              </w:rPr>
              <w:t>评分内容</w:t>
            </w:r>
          </w:p>
          <w:p>
            <w:pPr>
              <w:spacing w:line="360" w:lineRule="auto"/>
              <w:rPr>
                <w:rFonts w:ascii="宋体" w:hAnsi="宋体" w:eastAsia="宋体" w:cs="宋体"/>
                <w:sz w:val="24"/>
              </w:rPr>
            </w:pPr>
          </w:p>
        </w:tc>
        <w:tc>
          <w:tcPr>
            <w:tcW w:w="4727" w:type="dxa"/>
            <w:vAlign w:val="center"/>
          </w:tcPr>
          <w:p>
            <w:pPr>
              <w:widowControl/>
              <w:spacing w:line="360" w:lineRule="auto"/>
              <w:jc w:val="left"/>
              <w:rPr>
                <w:rFonts w:ascii="宋体" w:hAnsi="宋体" w:eastAsia="宋体" w:cs="宋体"/>
                <w:sz w:val="24"/>
              </w:rPr>
            </w:pPr>
            <w:r>
              <w:rPr>
                <w:rFonts w:hint="eastAsia" w:ascii="宋体" w:hAnsi="宋体" w:eastAsia="宋体" w:cs="宋体"/>
                <w:b/>
                <w:bCs/>
                <w:color w:val="000000"/>
                <w:kern w:val="0"/>
                <w:sz w:val="24"/>
                <w:lang w:bidi="ar"/>
              </w:rPr>
              <w:t xml:space="preserve">评分标准 </w:t>
            </w:r>
          </w:p>
        </w:tc>
        <w:tc>
          <w:tcPr>
            <w:tcW w:w="1223" w:type="dxa"/>
            <w:vAlign w:val="center"/>
          </w:tcPr>
          <w:p>
            <w:pPr>
              <w:widowControl/>
              <w:spacing w:line="360" w:lineRule="auto"/>
              <w:jc w:val="left"/>
              <w:rPr>
                <w:rFonts w:ascii="宋体" w:hAnsi="宋体" w:eastAsia="宋体" w:cs="宋体"/>
                <w:sz w:val="24"/>
              </w:rPr>
            </w:pPr>
            <w:r>
              <w:rPr>
                <w:rFonts w:hint="eastAsia" w:ascii="宋体" w:hAnsi="宋体" w:eastAsia="宋体" w:cs="宋体"/>
                <w:b/>
                <w:bCs/>
                <w:color w:val="000000"/>
                <w:kern w:val="0"/>
                <w:sz w:val="24"/>
                <w:lang w:bidi="ar"/>
              </w:rPr>
              <w:t xml:space="preserve">分值范围 </w:t>
            </w:r>
          </w:p>
          <w:p>
            <w:pPr>
              <w:spacing w:line="36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4" w:hRule="atLeast"/>
          <w:jc w:val="center"/>
        </w:trPr>
        <w:tc>
          <w:tcPr>
            <w:tcW w:w="1033" w:type="dxa"/>
            <w:vMerge w:val="restart"/>
            <w:vAlign w:val="center"/>
          </w:tcPr>
          <w:p>
            <w:pPr>
              <w:widowControl/>
              <w:spacing w:line="360" w:lineRule="auto"/>
              <w:jc w:val="left"/>
              <w:rPr>
                <w:rFonts w:ascii="宋体" w:hAnsi="宋体" w:eastAsia="宋体" w:cs="宋体"/>
                <w:sz w:val="24"/>
              </w:rPr>
            </w:pPr>
            <w:r>
              <w:rPr>
                <w:rFonts w:hint="eastAsia" w:ascii="宋体" w:hAnsi="宋体" w:eastAsia="宋体" w:cs="宋体"/>
                <w:color w:val="000000"/>
                <w:kern w:val="0"/>
                <w:sz w:val="24"/>
                <w:lang w:bidi="ar"/>
              </w:rPr>
              <w:t>技术资信分 （</w:t>
            </w:r>
            <w:r>
              <w:rPr>
                <w:rFonts w:hint="eastAsia" w:ascii="宋体" w:hAnsi="宋体" w:cs="宋体"/>
                <w:color w:val="000000"/>
                <w:kern w:val="0"/>
                <w:sz w:val="24"/>
                <w:lang w:bidi="ar"/>
              </w:rPr>
              <w:t>30</w:t>
            </w:r>
            <w:r>
              <w:rPr>
                <w:rFonts w:hint="eastAsia" w:ascii="宋体" w:hAnsi="宋体" w:eastAsia="宋体" w:cs="宋体"/>
                <w:color w:val="000000"/>
                <w:kern w:val="0"/>
                <w:sz w:val="24"/>
                <w:lang w:bidi="ar"/>
              </w:rPr>
              <w:t>分）</w:t>
            </w:r>
          </w:p>
          <w:p>
            <w:pPr>
              <w:spacing w:line="360" w:lineRule="auto"/>
              <w:jc w:val="center"/>
              <w:rPr>
                <w:rFonts w:ascii="宋体" w:hAnsi="宋体" w:eastAsia="宋体" w:cs="宋体"/>
                <w:sz w:val="24"/>
              </w:rPr>
            </w:pPr>
          </w:p>
        </w:tc>
        <w:tc>
          <w:tcPr>
            <w:tcW w:w="1350" w:type="dxa"/>
            <w:vAlign w:val="center"/>
          </w:tcPr>
          <w:p>
            <w:pPr>
              <w:adjustRightInd w:val="0"/>
              <w:snapToGrid w:val="0"/>
              <w:spacing w:line="360" w:lineRule="auto"/>
              <w:jc w:val="center"/>
              <w:rPr>
                <w:rFonts w:ascii="宋体" w:hAnsi="宋体" w:eastAsia="宋体" w:cs="宋体"/>
                <w:kern w:val="0"/>
                <w:sz w:val="24"/>
                <w:u w:color="000000"/>
              </w:rPr>
            </w:pPr>
            <w:r>
              <w:rPr>
                <w:rFonts w:hint="eastAsia" w:ascii="宋体" w:hAnsi="宋体" w:eastAsia="宋体" w:cs="宋体"/>
                <w:kern w:val="0"/>
                <w:sz w:val="24"/>
                <w:u w:color="000000"/>
              </w:rPr>
              <w:t>管理体系</w:t>
            </w:r>
          </w:p>
        </w:tc>
        <w:tc>
          <w:tcPr>
            <w:tcW w:w="4727" w:type="dxa"/>
            <w:vAlign w:val="center"/>
          </w:tcPr>
          <w:p>
            <w:pPr>
              <w:adjustRightInd w:val="0"/>
              <w:snapToGrid w:val="0"/>
              <w:spacing w:line="360" w:lineRule="auto"/>
              <w:jc w:val="left"/>
              <w:rPr>
                <w:rFonts w:ascii="宋体" w:hAnsi="宋体" w:eastAsia="宋体" w:cs="宋体"/>
                <w:kern w:val="0"/>
                <w:sz w:val="24"/>
                <w:u w:color="000000"/>
              </w:rPr>
            </w:pPr>
            <w:r>
              <w:rPr>
                <w:rFonts w:hint="eastAsia" w:ascii="宋体" w:hAnsi="宋体" w:eastAsia="宋体" w:cs="宋体"/>
                <w:kern w:val="0"/>
                <w:sz w:val="24"/>
                <w:u w:color="000000"/>
              </w:rPr>
              <w:t>1.具有质量管理体系认证，得</w:t>
            </w:r>
            <w:r>
              <w:rPr>
                <w:rFonts w:hint="eastAsia" w:ascii="宋体" w:hAnsi="宋体" w:cs="宋体"/>
                <w:kern w:val="0"/>
                <w:sz w:val="24"/>
                <w:u w:color="000000"/>
              </w:rPr>
              <w:t>2</w:t>
            </w:r>
            <w:r>
              <w:rPr>
                <w:rFonts w:hint="eastAsia" w:ascii="宋体" w:hAnsi="宋体" w:eastAsia="宋体" w:cs="宋体"/>
                <w:kern w:val="0"/>
                <w:sz w:val="24"/>
                <w:u w:color="000000"/>
              </w:rPr>
              <w:t xml:space="preserve">分； </w:t>
            </w:r>
          </w:p>
          <w:p>
            <w:pPr>
              <w:adjustRightInd w:val="0"/>
              <w:snapToGrid w:val="0"/>
              <w:spacing w:line="360" w:lineRule="auto"/>
              <w:jc w:val="left"/>
              <w:rPr>
                <w:rFonts w:ascii="宋体" w:hAnsi="宋体" w:eastAsia="宋体" w:cs="宋体"/>
                <w:kern w:val="0"/>
                <w:sz w:val="24"/>
                <w:u w:color="000000"/>
              </w:rPr>
            </w:pPr>
            <w:r>
              <w:rPr>
                <w:rFonts w:hint="eastAsia" w:ascii="宋体" w:hAnsi="宋体" w:eastAsia="宋体" w:cs="宋体"/>
                <w:kern w:val="0"/>
                <w:sz w:val="24"/>
                <w:u w:color="000000"/>
              </w:rPr>
              <w:t>2.具有环境管理体系认证证书的，得</w:t>
            </w:r>
            <w:r>
              <w:rPr>
                <w:rFonts w:hint="eastAsia" w:ascii="宋体" w:hAnsi="宋体" w:cs="宋体"/>
                <w:kern w:val="0"/>
                <w:sz w:val="24"/>
                <w:u w:color="000000"/>
              </w:rPr>
              <w:t>2</w:t>
            </w:r>
            <w:r>
              <w:rPr>
                <w:rFonts w:hint="eastAsia" w:ascii="宋体" w:hAnsi="宋体" w:eastAsia="宋体" w:cs="宋体"/>
                <w:kern w:val="0"/>
                <w:sz w:val="24"/>
                <w:u w:color="000000"/>
              </w:rPr>
              <w:t>分；</w:t>
            </w:r>
          </w:p>
          <w:p>
            <w:pPr>
              <w:adjustRightInd w:val="0"/>
              <w:snapToGrid w:val="0"/>
              <w:spacing w:line="360" w:lineRule="auto"/>
              <w:jc w:val="left"/>
              <w:rPr>
                <w:rFonts w:ascii="宋体" w:hAnsi="宋体" w:eastAsia="宋体" w:cs="宋体"/>
                <w:kern w:val="0"/>
                <w:sz w:val="24"/>
                <w:u w:color="000000"/>
              </w:rPr>
            </w:pPr>
            <w:r>
              <w:rPr>
                <w:rFonts w:hint="eastAsia" w:ascii="宋体" w:hAnsi="宋体" w:eastAsia="宋体" w:cs="宋体"/>
                <w:kern w:val="0"/>
                <w:sz w:val="24"/>
                <w:u w:color="000000"/>
              </w:rPr>
              <w:t>3.具有职业健康安全管理体系认证证书的，得</w:t>
            </w:r>
            <w:r>
              <w:rPr>
                <w:rFonts w:hint="eastAsia" w:ascii="宋体" w:hAnsi="宋体" w:cs="宋体"/>
                <w:kern w:val="0"/>
                <w:sz w:val="24"/>
                <w:u w:color="000000"/>
              </w:rPr>
              <w:t>2</w:t>
            </w:r>
            <w:r>
              <w:rPr>
                <w:rFonts w:hint="eastAsia" w:ascii="宋体" w:hAnsi="宋体" w:eastAsia="宋体" w:cs="宋体"/>
                <w:kern w:val="0"/>
                <w:sz w:val="24"/>
                <w:u w:color="000000"/>
              </w:rPr>
              <w:t>分；</w:t>
            </w:r>
          </w:p>
          <w:p>
            <w:pPr>
              <w:adjustRightInd w:val="0"/>
              <w:snapToGrid w:val="0"/>
              <w:spacing w:line="360" w:lineRule="auto"/>
              <w:jc w:val="left"/>
              <w:rPr>
                <w:rFonts w:ascii="宋体" w:hAnsi="宋体" w:eastAsia="宋体" w:cs="宋体"/>
                <w:kern w:val="0"/>
                <w:sz w:val="24"/>
                <w:u w:color="000000"/>
              </w:rPr>
            </w:pPr>
            <w:r>
              <w:rPr>
                <w:rFonts w:hint="eastAsia" w:ascii="宋体" w:hAnsi="宋体" w:eastAsia="宋体" w:cs="宋体"/>
                <w:kern w:val="0"/>
                <w:sz w:val="24"/>
                <w:u w:color="000000"/>
              </w:rPr>
              <w:t>注：以上证书在有效期内，</w:t>
            </w:r>
            <w:r>
              <w:rPr>
                <w:rFonts w:hint="eastAsia" w:ascii="宋体" w:hAnsi="宋体" w:eastAsia="宋体" w:cs="宋体"/>
                <w:bCs/>
                <w:kern w:val="0"/>
                <w:sz w:val="24"/>
              </w:rPr>
              <w:t>需提供相关证书原件扫描件及国家认监委网站查询截图</w:t>
            </w:r>
            <w:r>
              <w:rPr>
                <w:rFonts w:hint="eastAsia" w:ascii="宋体" w:hAnsi="宋体" w:eastAsia="宋体" w:cs="宋体"/>
                <w:kern w:val="0"/>
                <w:sz w:val="24"/>
                <w:u w:color="000000"/>
              </w:rPr>
              <w:t>。</w:t>
            </w:r>
          </w:p>
        </w:tc>
        <w:tc>
          <w:tcPr>
            <w:tcW w:w="1223" w:type="dxa"/>
            <w:vAlign w:val="center"/>
          </w:tcPr>
          <w:p>
            <w:pPr>
              <w:adjustRightInd w:val="0"/>
              <w:snapToGrid w:val="0"/>
              <w:spacing w:line="360" w:lineRule="auto"/>
              <w:jc w:val="center"/>
              <w:rPr>
                <w:rFonts w:ascii="宋体" w:hAnsi="宋体" w:eastAsia="宋体" w:cs="宋体"/>
                <w:sz w:val="24"/>
              </w:rPr>
            </w:pPr>
            <w:r>
              <w:rPr>
                <w:rFonts w:hint="eastAsia" w:ascii="宋体" w:hAnsi="宋体" w:eastAsia="宋体" w:cs="宋体"/>
                <w:sz w:val="24"/>
              </w:rPr>
              <w:t>0-</w:t>
            </w:r>
            <w:r>
              <w:rPr>
                <w:rFonts w:hint="eastAsia" w:ascii="宋体" w:hAnsi="宋体" w:cs="宋体"/>
                <w:sz w:val="24"/>
              </w:rPr>
              <w:t>6</w:t>
            </w:r>
            <w:r>
              <w:rPr>
                <w:rFonts w:hint="eastAsia" w:ascii="宋体" w:hAnsi="宋体" w:eastAsia="宋体" w:cs="宋体"/>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9" w:hRule="atLeast"/>
          <w:jc w:val="center"/>
        </w:trPr>
        <w:tc>
          <w:tcPr>
            <w:tcW w:w="1033" w:type="dxa"/>
            <w:vMerge w:val="continue"/>
            <w:vAlign w:val="center"/>
          </w:tcPr>
          <w:p>
            <w:pPr>
              <w:spacing w:line="360" w:lineRule="auto"/>
              <w:jc w:val="center"/>
              <w:rPr>
                <w:rFonts w:ascii="宋体" w:hAnsi="宋体" w:eastAsia="宋体" w:cs="宋体"/>
                <w:sz w:val="24"/>
              </w:rPr>
            </w:pPr>
          </w:p>
        </w:tc>
        <w:tc>
          <w:tcPr>
            <w:tcW w:w="1350" w:type="dxa"/>
            <w:vAlign w:val="center"/>
          </w:tcPr>
          <w:p>
            <w:pPr>
              <w:adjustRightInd w:val="0"/>
              <w:snapToGrid w:val="0"/>
              <w:spacing w:line="360" w:lineRule="auto"/>
              <w:jc w:val="center"/>
              <w:rPr>
                <w:rFonts w:ascii="宋体" w:hAnsi="宋体" w:eastAsia="宋体" w:cs="宋体"/>
                <w:sz w:val="24"/>
              </w:rPr>
            </w:pPr>
            <w:r>
              <w:rPr>
                <w:rFonts w:hint="eastAsia" w:ascii="宋体" w:hAnsi="宋体" w:eastAsia="宋体" w:cs="宋体"/>
                <w:kern w:val="0"/>
                <w:sz w:val="24"/>
                <w:u w:color="000000"/>
              </w:rPr>
              <w:t>企业业绩</w:t>
            </w:r>
          </w:p>
        </w:tc>
        <w:tc>
          <w:tcPr>
            <w:tcW w:w="4727" w:type="dxa"/>
            <w:vAlign w:val="center"/>
          </w:tcPr>
          <w:p>
            <w:pPr>
              <w:adjustRightInd w:val="0"/>
              <w:snapToGrid w:val="0"/>
              <w:spacing w:line="360" w:lineRule="auto"/>
              <w:jc w:val="left"/>
              <w:rPr>
                <w:rFonts w:ascii="宋体" w:hAnsi="宋体" w:eastAsia="宋体" w:cs="宋体"/>
                <w:kern w:val="0"/>
                <w:sz w:val="24"/>
                <w:u w:color="000000"/>
              </w:rPr>
            </w:pPr>
            <w:r>
              <w:rPr>
                <w:rFonts w:hint="eastAsia" w:ascii="宋体" w:hAnsi="宋体" w:eastAsia="宋体" w:cs="宋体"/>
                <w:kern w:val="0"/>
                <w:sz w:val="24"/>
                <w:u w:color="000000"/>
              </w:rPr>
              <w:t>1.自 2021 年 1 月 1 日以来（以合同签订时间为准），投标供应商具有</w:t>
            </w:r>
            <w:r>
              <w:rPr>
                <w:rFonts w:hint="eastAsia" w:ascii="宋体" w:hAnsi="宋体" w:cs="宋体"/>
                <w:kern w:val="0"/>
                <w:sz w:val="24"/>
                <w:u w:color="000000"/>
              </w:rPr>
              <w:t>送餐或配送</w:t>
            </w:r>
            <w:r>
              <w:rPr>
                <w:rFonts w:hint="eastAsia" w:ascii="宋体" w:hAnsi="宋体" w:eastAsia="宋体" w:cs="宋体"/>
                <w:kern w:val="0"/>
                <w:sz w:val="24"/>
                <w:u w:color="000000"/>
              </w:rPr>
              <w:t>服务业绩的，每提供一个得</w:t>
            </w:r>
            <w:r>
              <w:rPr>
                <w:rFonts w:hint="eastAsia" w:ascii="宋体" w:hAnsi="宋体" w:cs="宋体"/>
                <w:kern w:val="0"/>
                <w:sz w:val="24"/>
                <w:u w:color="000000"/>
              </w:rPr>
              <w:t>5</w:t>
            </w:r>
            <w:r>
              <w:rPr>
                <w:rFonts w:hint="eastAsia" w:ascii="宋体" w:hAnsi="宋体" w:eastAsia="宋体" w:cs="宋体"/>
                <w:kern w:val="0"/>
                <w:sz w:val="24"/>
                <w:u w:color="000000"/>
              </w:rPr>
              <w:t>分，最高得</w:t>
            </w:r>
            <w:r>
              <w:rPr>
                <w:rFonts w:hint="eastAsia" w:ascii="宋体" w:hAnsi="宋体" w:cs="宋体"/>
                <w:kern w:val="0"/>
                <w:sz w:val="24"/>
                <w:u w:color="000000"/>
              </w:rPr>
              <w:t>10</w:t>
            </w:r>
            <w:r>
              <w:rPr>
                <w:rFonts w:hint="eastAsia" w:ascii="宋体" w:hAnsi="宋体" w:eastAsia="宋体" w:cs="宋体"/>
                <w:kern w:val="0"/>
                <w:sz w:val="24"/>
                <w:u w:color="000000"/>
              </w:rPr>
              <w:t>分。</w:t>
            </w:r>
          </w:p>
          <w:p>
            <w:pPr>
              <w:widowControl/>
              <w:spacing w:line="360" w:lineRule="auto"/>
              <w:jc w:val="left"/>
              <w:rPr>
                <w:rFonts w:ascii="宋体" w:hAnsi="宋体" w:eastAsia="宋体" w:cs="宋体"/>
                <w:sz w:val="24"/>
              </w:rPr>
            </w:pPr>
            <w:r>
              <w:rPr>
                <w:rFonts w:hint="eastAsia" w:ascii="宋体" w:hAnsi="宋体" w:eastAsia="宋体" w:cs="宋体"/>
                <w:kern w:val="0"/>
                <w:sz w:val="24"/>
                <w:u w:color="000000"/>
              </w:rPr>
              <w:t>注：</w:t>
            </w:r>
            <w:r>
              <w:rPr>
                <w:rFonts w:hint="eastAsia" w:ascii="宋体" w:hAnsi="宋体" w:eastAsia="宋体" w:cs="宋体"/>
                <w:color w:val="000000"/>
                <w:kern w:val="0"/>
                <w:sz w:val="24"/>
                <w:lang w:bidi="ar"/>
              </w:rPr>
              <w:t>以响应文件中提供的合同为评 审依据。如合同无法体现评审要素的，须另附合同甲方出具的相关证明材料（加盖合同甲方公章）。上述业绩包含正在履约的业绩。</w:t>
            </w:r>
          </w:p>
        </w:tc>
        <w:tc>
          <w:tcPr>
            <w:tcW w:w="1223" w:type="dxa"/>
            <w:vAlign w:val="center"/>
          </w:tcPr>
          <w:p>
            <w:pPr>
              <w:adjustRightInd w:val="0"/>
              <w:snapToGrid w:val="0"/>
              <w:spacing w:line="360" w:lineRule="auto"/>
              <w:jc w:val="center"/>
              <w:rPr>
                <w:rFonts w:ascii="宋体" w:hAnsi="宋体" w:eastAsia="宋体" w:cs="宋体"/>
                <w:sz w:val="24"/>
              </w:rPr>
            </w:pPr>
            <w:r>
              <w:rPr>
                <w:rFonts w:hint="eastAsia" w:ascii="宋体" w:hAnsi="宋体" w:eastAsia="宋体" w:cs="宋体"/>
                <w:sz w:val="24"/>
              </w:rPr>
              <w:t>0-</w:t>
            </w:r>
            <w:r>
              <w:rPr>
                <w:rFonts w:hint="eastAsia" w:ascii="宋体" w:hAnsi="宋体" w:cs="宋体"/>
                <w:sz w:val="24"/>
              </w:rPr>
              <w:t>1</w:t>
            </w:r>
            <w:r>
              <w:rPr>
                <w:rFonts w:hint="eastAsia" w:ascii="宋体" w:hAnsi="宋体" w:eastAsia="宋体" w:cs="宋体"/>
                <w:sz w:val="24"/>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1033" w:type="dxa"/>
            <w:vMerge w:val="continue"/>
            <w:vAlign w:val="center"/>
          </w:tcPr>
          <w:p>
            <w:pPr>
              <w:spacing w:line="360" w:lineRule="auto"/>
              <w:jc w:val="center"/>
              <w:rPr>
                <w:rFonts w:ascii="宋体" w:hAnsi="宋体" w:eastAsia="宋体" w:cs="宋体"/>
                <w:sz w:val="24"/>
              </w:rPr>
            </w:pPr>
          </w:p>
        </w:tc>
        <w:tc>
          <w:tcPr>
            <w:tcW w:w="1350" w:type="dxa"/>
            <w:vAlign w:val="center"/>
          </w:tcPr>
          <w:p>
            <w:pPr>
              <w:pStyle w:val="12"/>
              <w:adjustRightInd w:val="0"/>
              <w:snapToGrid w:val="0"/>
              <w:spacing w:line="360" w:lineRule="auto"/>
              <w:jc w:val="center"/>
              <w:rPr>
                <w:rFonts w:ascii="宋体" w:hAnsi="宋体" w:eastAsia="宋体" w:cs="宋体"/>
                <w:sz w:val="24"/>
                <w:szCs w:val="24"/>
                <w:u w:color="000000"/>
              </w:rPr>
            </w:pPr>
            <w:r>
              <w:rPr>
                <w:rFonts w:hint="eastAsia" w:ascii="宋体" w:hAnsi="宋体" w:eastAsia="宋体" w:cs="宋体"/>
                <w:sz w:val="24"/>
                <w:szCs w:val="24"/>
                <w:u w:color="000000"/>
              </w:rPr>
              <w:t>经营方案</w:t>
            </w:r>
          </w:p>
        </w:tc>
        <w:tc>
          <w:tcPr>
            <w:tcW w:w="4727" w:type="dxa"/>
            <w:vAlign w:val="center"/>
          </w:tcPr>
          <w:p>
            <w:pPr>
              <w:widowControl/>
              <w:spacing w:line="360" w:lineRule="auto"/>
              <w:jc w:val="left"/>
              <w:rPr>
                <w:rFonts w:ascii="宋体" w:hAnsi="宋体" w:eastAsia="宋体" w:cs="宋体"/>
                <w:sz w:val="24"/>
              </w:rPr>
            </w:pPr>
            <w:r>
              <w:rPr>
                <w:rFonts w:hint="eastAsia" w:ascii="宋体" w:hAnsi="宋体" w:eastAsia="宋体" w:cs="宋体"/>
                <w:color w:val="000000"/>
                <w:kern w:val="0"/>
                <w:sz w:val="24"/>
                <w:lang w:bidi="ar"/>
              </w:rPr>
              <w:t xml:space="preserve">供应商应围绕经营管理，原材料采购，饭菜品种，食品安全环境卫生，食品质量控制，服务质量控制，卫生管理控制（食品卫生，人员卫生，环境卫生，垃圾处理方案等）等内容拟定经营方案： </w:t>
            </w:r>
          </w:p>
          <w:p>
            <w:pPr>
              <w:widowControl/>
              <w:spacing w:line="360" w:lineRule="auto"/>
              <w:jc w:val="left"/>
              <w:rPr>
                <w:rFonts w:ascii="宋体" w:hAnsi="宋体" w:eastAsia="宋体" w:cs="宋体"/>
                <w:color w:val="000000"/>
                <w:kern w:val="0"/>
                <w:sz w:val="24"/>
                <w:lang w:bidi="ar"/>
              </w:rPr>
            </w:pPr>
            <w:r>
              <w:rPr>
                <w:rFonts w:hint="eastAsia" w:ascii="宋体" w:hAnsi="宋体" w:eastAsia="宋体" w:cs="宋体"/>
                <w:color w:val="000000"/>
                <w:kern w:val="0"/>
                <w:sz w:val="24"/>
                <w:lang w:bidi="ar"/>
              </w:rPr>
              <w:t>1、方案内容全面详细、科学合理、切实可行的，得</w:t>
            </w:r>
            <w:r>
              <w:rPr>
                <w:rFonts w:hint="eastAsia" w:ascii="宋体" w:hAnsi="宋体" w:cs="宋体"/>
                <w:color w:val="000000"/>
                <w:kern w:val="0"/>
                <w:sz w:val="24"/>
                <w:lang w:bidi="ar"/>
              </w:rPr>
              <w:t>5</w:t>
            </w:r>
            <w:r>
              <w:rPr>
                <w:rFonts w:hint="eastAsia" w:ascii="宋体" w:hAnsi="宋体" w:eastAsia="宋体" w:cs="宋体"/>
                <w:color w:val="000000"/>
                <w:kern w:val="0"/>
                <w:sz w:val="24"/>
                <w:lang w:bidi="ar"/>
              </w:rPr>
              <w:t xml:space="preserve">分； </w:t>
            </w:r>
          </w:p>
          <w:p>
            <w:pPr>
              <w:widowControl/>
              <w:spacing w:line="360" w:lineRule="auto"/>
              <w:jc w:val="left"/>
              <w:rPr>
                <w:rFonts w:ascii="宋体" w:hAnsi="宋体" w:eastAsia="宋体" w:cs="宋体"/>
                <w:sz w:val="24"/>
              </w:rPr>
            </w:pPr>
            <w:r>
              <w:rPr>
                <w:rFonts w:hint="eastAsia" w:ascii="宋体" w:hAnsi="宋体" w:eastAsia="宋体" w:cs="宋体"/>
                <w:color w:val="000000"/>
                <w:kern w:val="0"/>
                <w:sz w:val="24"/>
                <w:lang w:bidi="ar"/>
              </w:rPr>
              <w:t>2.方案内容较完整，具有一定的科学性和可行性的，得</w:t>
            </w:r>
            <w:r>
              <w:rPr>
                <w:rFonts w:hint="eastAsia" w:ascii="宋体" w:hAnsi="宋体" w:cs="宋体"/>
                <w:color w:val="000000"/>
                <w:kern w:val="0"/>
                <w:sz w:val="24"/>
                <w:lang w:bidi="ar"/>
              </w:rPr>
              <w:t>3</w:t>
            </w:r>
            <w:r>
              <w:rPr>
                <w:rFonts w:hint="eastAsia" w:ascii="宋体" w:hAnsi="宋体" w:eastAsia="宋体" w:cs="宋体"/>
                <w:color w:val="000000"/>
                <w:kern w:val="0"/>
                <w:sz w:val="24"/>
                <w:lang w:bidi="ar"/>
              </w:rPr>
              <w:t xml:space="preserve">分； </w:t>
            </w:r>
          </w:p>
          <w:p>
            <w:pPr>
              <w:widowControl/>
              <w:spacing w:line="360" w:lineRule="auto"/>
              <w:jc w:val="left"/>
              <w:rPr>
                <w:rFonts w:ascii="宋体" w:hAnsi="宋体" w:eastAsia="宋体" w:cs="宋体"/>
                <w:sz w:val="24"/>
              </w:rPr>
            </w:pPr>
            <w:r>
              <w:rPr>
                <w:rFonts w:hint="eastAsia" w:ascii="宋体" w:hAnsi="宋体" w:eastAsia="宋体" w:cs="宋体"/>
                <w:color w:val="000000"/>
                <w:kern w:val="0"/>
                <w:sz w:val="24"/>
                <w:lang w:bidi="ar"/>
              </w:rPr>
              <w:t>3.方案内容欠缺，合理性和可行性均不强的，得</w:t>
            </w:r>
            <w:r>
              <w:rPr>
                <w:rFonts w:hint="eastAsia" w:ascii="宋体" w:hAnsi="宋体" w:cs="宋体"/>
                <w:color w:val="000000"/>
                <w:kern w:val="0"/>
                <w:sz w:val="24"/>
                <w:lang w:bidi="ar"/>
              </w:rPr>
              <w:t>1</w:t>
            </w:r>
            <w:r>
              <w:rPr>
                <w:rFonts w:hint="eastAsia" w:ascii="宋体" w:hAnsi="宋体" w:eastAsia="宋体" w:cs="宋体"/>
                <w:color w:val="000000"/>
                <w:kern w:val="0"/>
                <w:sz w:val="24"/>
                <w:lang w:bidi="ar"/>
              </w:rPr>
              <w:t xml:space="preserve">分； </w:t>
            </w:r>
          </w:p>
          <w:p>
            <w:pPr>
              <w:widowControl/>
              <w:spacing w:line="360" w:lineRule="auto"/>
              <w:jc w:val="left"/>
              <w:rPr>
                <w:rFonts w:ascii="宋体" w:hAnsi="宋体" w:eastAsia="宋体" w:cs="宋体"/>
                <w:sz w:val="24"/>
              </w:rPr>
            </w:pPr>
            <w:r>
              <w:rPr>
                <w:rFonts w:hint="eastAsia" w:ascii="宋体" w:hAnsi="宋体" w:eastAsia="宋体" w:cs="宋体"/>
                <w:color w:val="000000"/>
                <w:kern w:val="0"/>
                <w:sz w:val="24"/>
                <w:lang w:bidi="ar"/>
              </w:rPr>
              <w:t>4.未提供相关内容的，不得分</w:t>
            </w:r>
          </w:p>
        </w:tc>
        <w:tc>
          <w:tcPr>
            <w:tcW w:w="1223" w:type="dxa"/>
            <w:vAlign w:val="center"/>
          </w:tcPr>
          <w:p>
            <w:pPr>
              <w:pStyle w:val="12"/>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2" w:hRule="atLeast"/>
          <w:jc w:val="center"/>
        </w:trPr>
        <w:tc>
          <w:tcPr>
            <w:tcW w:w="1033" w:type="dxa"/>
            <w:vMerge w:val="continue"/>
            <w:vAlign w:val="center"/>
          </w:tcPr>
          <w:p>
            <w:pPr>
              <w:spacing w:line="360" w:lineRule="auto"/>
              <w:jc w:val="center"/>
              <w:rPr>
                <w:rFonts w:ascii="宋体" w:hAnsi="宋体" w:eastAsia="宋体" w:cs="宋体"/>
                <w:sz w:val="24"/>
              </w:rPr>
            </w:pPr>
          </w:p>
        </w:tc>
        <w:tc>
          <w:tcPr>
            <w:tcW w:w="1350" w:type="dxa"/>
            <w:vAlign w:val="center"/>
          </w:tcPr>
          <w:p>
            <w:pPr>
              <w:widowControl/>
              <w:spacing w:line="360" w:lineRule="auto"/>
              <w:jc w:val="left"/>
              <w:rPr>
                <w:rFonts w:ascii="宋体" w:hAnsi="宋体" w:eastAsia="宋体" w:cs="宋体"/>
                <w:sz w:val="24"/>
              </w:rPr>
            </w:pPr>
            <w:r>
              <w:rPr>
                <w:rFonts w:hint="eastAsia" w:ascii="宋体" w:hAnsi="宋体" w:eastAsia="宋体" w:cs="宋体"/>
                <w:color w:val="000000"/>
                <w:kern w:val="0"/>
                <w:sz w:val="24"/>
                <w:lang w:bidi="ar"/>
              </w:rPr>
              <w:t>食品安全卫生管理制度和应急预案</w:t>
            </w:r>
          </w:p>
          <w:p>
            <w:pPr>
              <w:pStyle w:val="12"/>
              <w:adjustRightInd w:val="0"/>
              <w:snapToGrid w:val="0"/>
              <w:spacing w:line="360" w:lineRule="auto"/>
              <w:jc w:val="center"/>
              <w:rPr>
                <w:rFonts w:ascii="宋体" w:hAnsi="宋体" w:eastAsia="宋体" w:cs="宋体"/>
                <w:sz w:val="24"/>
                <w:szCs w:val="24"/>
                <w:highlight w:val="yellow"/>
              </w:rPr>
            </w:pPr>
          </w:p>
        </w:tc>
        <w:tc>
          <w:tcPr>
            <w:tcW w:w="4727" w:type="dxa"/>
            <w:vAlign w:val="center"/>
          </w:tcPr>
          <w:p>
            <w:pPr>
              <w:widowControl/>
              <w:spacing w:line="360" w:lineRule="auto"/>
              <w:jc w:val="left"/>
              <w:rPr>
                <w:rFonts w:ascii="宋体" w:hAnsi="宋体" w:eastAsia="宋体" w:cs="宋体"/>
                <w:sz w:val="24"/>
              </w:rPr>
            </w:pPr>
            <w:r>
              <w:rPr>
                <w:rFonts w:hint="eastAsia" w:ascii="宋体" w:hAnsi="宋体" w:eastAsia="宋体" w:cs="宋体"/>
                <w:color w:val="000000"/>
                <w:kern w:val="0"/>
                <w:sz w:val="24"/>
                <w:lang w:bidi="ar"/>
              </w:rPr>
              <w:t>比选小组</w:t>
            </w:r>
            <w:r>
              <w:rPr>
                <w:rFonts w:hint="eastAsia" w:ascii="宋体" w:hAnsi="宋体" w:eastAsia="宋体" w:cs="宋体"/>
                <w:color w:val="000000"/>
                <w:kern w:val="0"/>
                <w:sz w:val="24"/>
                <w:lang w:bidi="ar"/>
              </w:rPr>
              <w:t xml:space="preserve">根据食品安全卫生管理制度和应急预案编制的科学合理性和可操作性等进行综合评分： </w:t>
            </w:r>
          </w:p>
          <w:p>
            <w:pPr>
              <w:widowControl/>
              <w:spacing w:line="360" w:lineRule="auto"/>
              <w:jc w:val="left"/>
              <w:rPr>
                <w:rFonts w:ascii="宋体" w:hAnsi="宋体" w:eastAsia="宋体" w:cs="宋体"/>
                <w:sz w:val="24"/>
              </w:rPr>
            </w:pPr>
            <w:r>
              <w:rPr>
                <w:rFonts w:hint="eastAsia" w:ascii="宋体" w:hAnsi="宋体" w:eastAsia="宋体" w:cs="宋体"/>
                <w:kern w:val="0"/>
                <w:sz w:val="24"/>
              </w:rPr>
              <w:t>1.</w:t>
            </w:r>
            <w:r>
              <w:rPr>
                <w:rFonts w:hint="eastAsia" w:ascii="宋体" w:hAnsi="宋体" w:eastAsia="宋体" w:cs="宋体"/>
                <w:color w:val="000000"/>
                <w:kern w:val="0"/>
                <w:sz w:val="24"/>
                <w:lang w:bidi="ar"/>
              </w:rPr>
              <w:t>内容全面、符合项目实际，科学合理、针对性强的</w:t>
            </w:r>
            <w:r>
              <w:rPr>
                <w:rFonts w:hint="eastAsia" w:ascii="宋体" w:hAnsi="宋体" w:cs="宋体"/>
                <w:color w:val="000000"/>
                <w:kern w:val="0"/>
                <w:sz w:val="24"/>
                <w:lang w:bidi="ar"/>
              </w:rPr>
              <w:t>，</w:t>
            </w:r>
            <w:r>
              <w:rPr>
                <w:rFonts w:hint="eastAsia" w:ascii="宋体" w:hAnsi="宋体" w:eastAsia="宋体" w:cs="宋体"/>
                <w:color w:val="000000"/>
                <w:kern w:val="0"/>
                <w:sz w:val="24"/>
                <w:lang w:bidi="ar"/>
              </w:rPr>
              <w:t>得</w:t>
            </w:r>
            <w:r>
              <w:rPr>
                <w:rFonts w:hint="eastAsia" w:ascii="宋体" w:hAnsi="宋体" w:cs="宋体"/>
                <w:color w:val="000000"/>
                <w:kern w:val="0"/>
                <w:sz w:val="24"/>
                <w:lang w:bidi="ar"/>
              </w:rPr>
              <w:t>5</w:t>
            </w:r>
            <w:r>
              <w:rPr>
                <w:rFonts w:hint="eastAsia" w:ascii="宋体" w:hAnsi="宋体" w:eastAsia="宋体" w:cs="宋体"/>
                <w:color w:val="000000"/>
                <w:kern w:val="0"/>
                <w:sz w:val="24"/>
                <w:lang w:bidi="ar"/>
              </w:rPr>
              <w:t xml:space="preserve">分； </w:t>
            </w:r>
          </w:p>
          <w:p>
            <w:pPr>
              <w:widowControl/>
              <w:spacing w:line="360" w:lineRule="auto"/>
              <w:jc w:val="left"/>
              <w:rPr>
                <w:rFonts w:ascii="宋体" w:hAnsi="宋体" w:eastAsia="宋体" w:cs="宋体"/>
                <w:sz w:val="24"/>
              </w:rPr>
            </w:pPr>
            <w:r>
              <w:rPr>
                <w:rFonts w:hint="eastAsia" w:ascii="宋体" w:hAnsi="宋体" w:eastAsia="宋体" w:cs="宋体"/>
                <w:color w:val="000000"/>
                <w:kern w:val="0"/>
                <w:sz w:val="24"/>
                <w:lang w:bidi="ar"/>
              </w:rPr>
              <w:t>2.内容较全面、符合项目要求，有一定的合理性和针对性的</w:t>
            </w:r>
            <w:r>
              <w:rPr>
                <w:rFonts w:hint="eastAsia" w:ascii="宋体" w:hAnsi="宋体" w:cs="宋体"/>
                <w:color w:val="000000"/>
                <w:kern w:val="0"/>
                <w:sz w:val="24"/>
                <w:lang w:bidi="ar"/>
              </w:rPr>
              <w:t>，</w:t>
            </w:r>
            <w:r>
              <w:rPr>
                <w:rFonts w:hint="eastAsia" w:ascii="宋体" w:hAnsi="宋体" w:eastAsia="宋体" w:cs="宋体"/>
                <w:color w:val="000000"/>
                <w:kern w:val="0"/>
                <w:sz w:val="24"/>
                <w:lang w:bidi="ar"/>
              </w:rPr>
              <w:t>得</w:t>
            </w:r>
            <w:r>
              <w:rPr>
                <w:rFonts w:hint="eastAsia" w:ascii="宋体" w:hAnsi="宋体" w:cs="宋体"/>
                <w:color w:val="000000"/>
                <w:kern w:val="0"/>
                <w:sz w:val="24"/>
                <w:lang w:bidi="ar"/>
              </w:rPr>
              <w:t>3</w:t>
            </w:r>
            <w:r>
              <w:rPr>
                <w:rFonts w:hint="eastAsia" w:ascii="宋体" w:hAnsi="宋体" w:eastAsia="宋体" w:cs="宋体"/>
                <w:color w:val="000000"/>
                <w:kern w:val="0"/>
                <w:sz w:val="24"/>
                <w:lang w:bidi="ar"/>
              </w:rPr>
              <w:t xml:space="preserve">分； </w:t>
            </w:r>
          </w:p>
          <w:p>
            <w:pPr>
              <w:widowControl/>
              <w:spacing w:line="360" w:lineRule="auto"/>
              <w:jc w:val="left"/>
              <w:rPr>
                <w:rFonts w:ascii="宋体" w:hAnsi="宋体" w:eastAsia="宋体" w:cs="宋体"/>
                <w:sz w:val="24"/>
              </w:rPr>
            </w:pPr>
            <w:r>
              <w:rPr>
                <w:rFonts w:hint="eastAsia" w:ascii="宋体" w:hAnsi="宋体" w:eastAsia="宋体" w:cs="宋体"/>
                <w:color w:val="000000"/>
                <w:kern w:val="0"/>
                <w:sz w:val="24"/>
                <w:lang w:bidi="ar"/>
              </w:rPr>
              <w:t>3.内容待完善，科学合理性、针对性均一般的</w:t>
            </w:r>
            <w:r>
              <w:rPr>
                <w:rFonts w:hint="eastAsia" w:ascii="宋体" w:hAnsi="宋体" w:cs="宋体"/>
                <w:color w:val="000000"/>
                <w:kern w:val="0"/>
                <w:sz w:val="24"/>
                <w:lang w:bidi="ar"/>
              </w:rPr>
              <w:t>，</w:t>
            </w:r>
            <w:r>
              <w:rPr>
                <w:rFonts w:hint="eastAsia" w:ascii="宋体" w:hAnsi="宋体" w:eastAsia="宋体" w:cs="宋体"/>
                <w:color w:val="000000"/>
                <w:kern w:val="0"/>
                <w:sz w:val="24"/>
                <w:lang w:bidi="ar"/>
              </w:rPr>
              <w:t>得</w:t>
            </w:r>
            <w:r>
              <w:rPr>
                <w:rFonts w:hint="eastAsia" w:ascii="宋体" w:hAnsi="宋体" w:cs="宋体"/>
                <w:color w:val="000000"/>
                <w:kern w:val="0"/>
                <w:sz w:val="24"/>
                <w:lang w:bidi="ar"/>
              </w:rPr>
              <w:t>1</w:t>
            </w:r>
            <w:r>
              <w:rPr>
                <w:rFonts w:hint="eastAsia" w:ascii="宋体" w:hAnsi="宋体" w:eastAsia="宋体" w:cs="宋体"/>
                <w:color w:val="000000"/>
                <w:kern w:val="0"/>
                <w:sz w:val="24"/>
                <w:lang w:bidi="ar"/>
              </w:rPr>
              <w:t xml:space="preserve">分； </w:t>
            </w:r>
          </w:p>
          <w:p>
            <w:pPr>
              <w:pStyle w:val="8"/>
              <w:spacing w:line="360" w:lineRule="auto"/>
              <w:ind w:left="0" w:leftChars="0" w:firstLine="0" w:firstLineChars="0"/>
              <w:rPr>
                <w:rFonts w:ascii="宋体" w:hAnsi="宋体" w:eastAsia="宋体" w:cs="宋体"/>
                <w:sz w:val="24"/>
                <w:szCs w:val="24"/>
              </w:rPr>
            </w:pPr>
            <w:r>
              <w:rPr>
                <w:rFonts w:hint="eastAsia" w:ascii="宋体" w:hAnsi="宋体" w:eastAsia="宋体" w:cs="宋体"/>
                <w:sz w:val="24"/>
                <w:szCs w:val="24"/>
              </w:rPr>
              <w:t>4.未提供或内容与本项目无关，不得分。</w:t>
            </w:r>
          </w:p>
        </w:tc>
        <w:tc>
          <w:tcPr>
            <w:tcW w:w="1223" w:type="dxa"/>
            <w:vAlign w:val="center"/>
          </w:tcPr>
          <w:p>
            <w:pPr>
              <w:pStyle w:val="12"/>
              <w:adjustRightInd w:val="0"/>
              <w:snapToGrid w:val="0"/>
              <w:spacing w:line="360" w:lineRule="auto"/>
              <w:jc w:val="center"/>
              <w:rPr>
                <w:rFonts w:ascii="宋体" w:hAnsi="宋体" w:eastAsia="宋体" w:cs="宋体"/>
                <w:sz w:val="24"/>
                <w:szCs w:val="24"/>
                <w:highlight w:val="yellow"/>
              </w:rPr>
            </w:pPr>
            <w:r>
              <w:rPr>
                <w:rFonts w:hint="eastAsia" w:ascii="宋体" w:hAnsi="宋体" w:eastAsia="宋体" w:cs="宋体"/>
                <w:sz w:val="24"/>
                <w:szCs w:val="24"/>
              </w:rPr>
              <w:t>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2" w:hRule="atLeast"/>
          <w:jc w:val="center"/>
        </w:trPr>
        <w:tc>
          <w:tcPr>
            <w:tcW w:w="1033" w:type="dxa"/>
            <w:vMerge w:val="continue"/>
            <w:vAlign w:val="center"/>
          </w:tcPr>
          <w:p>
            <w:pPr>
              <w:spacing w:line="360" w:lineRule="auto"/>
              <w:jc w:val="center"/>
              <w:rPr>
                <w:rFonts w:ascii="宋体" w:hAnsi="宋体" w:eastAsia="宋体" w:cs="宋体"/>
                <w:sz w:val="24"/>
              </w:rPr>
            </w:pPr>
          </w:p>
        </w:tc>
        <w:tc>
          <w:tcPr>
            <w:tcW w:w="1350" w:type="dxa"/>
            <w:vAlign w:val="center"/>
          </w:tcPr>
          <w:p>
            <w:pPr>
              <w:pStyle w:val="12"/>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供应商</w:t>
            </w:r>
          </w:p>
          <w:p>
            <w:pPr>
              <w:pStyle w:val="12"/>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承诺</w:t>
            </w:r>
          </w:p>
        </w:tc>
        <w:tc>
          <w:tcPr>
            <w:tcW w:w="4727" w:type="dxa"/>
            <w:vAlign w:val="center"/>
          </w:tcPr>
          <w:p>
            <w:pPr>
              <w:pStyle w:val="8"/>
              <w:spacing w:line="360" w:lineRule="auto"/>
              <w:ind w:left="0" w:leftChars="0" w:firstLine="0" w:firstLineChars="0"/>
              <w:rPr>
                <w:rFonts w:ascii="宋体" w:hAnsi="宋体" w:eastAsia="宋体" w:cs="宋体"/>
                <w:sz w:val="24"/>
                <w:szCs w:val="24"/>
              </w:rPr>
            </w:pPr>
            <w:r>
              <w:rPr>
                <w:rFonts w:hint="eastAsia" w:ascii="宋体" w:hAnsi="宋体" w:eastAsia="宋体" w:cs="宋体"/>
                <w:sz w:val="24"/>
                <w:szCs w:val="24"/>
              </w:rPr>
              <w:t>投标供应商承诺中标后为本项目购买“食品安全责任保险”，得4分。</w:t>
            </w:r>
          </w:p>
        </w:tc>
        <w:tc>
          <w:tcPr>
            <w:tcW w:w="1223" w:type="dxa"/>
            <w:vAlign w:val="center"/>
          </w:tcPr>
          <w:p>
            <w:pPr>
              <w:pStyle w:val="12"/>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2" w:hRule="atLeast"/>
          <w:jc w:val="center"/>
        </w:trPr>
        <w:tc>
          <w:tcPr>
            <w:tcW w:w="1033" w:type="dxa"/>
            <w:vAlign w:val="center"/>
          </w:tcPr>
          <w:p>
            <w:pPr>
              <w:widowControl/>
              <w:spacing w:line="360" w:lineRule="auto"/>
              <w:jc w:val="left"/>
              <w:rPr>
                <w:rFonts w:ascii="宋体" w:hAnsi="宋体" w:eastAsia="宋体" w:cs="宋体"/>
                <w:color w:val="000000"/>
                <w:kern w:val="0"/>
                <w:sz w:val="24"/>
                <w:lang w:bidi="ar"/>
              </w:rPr>
            </w:pPr>
            <w:r>
              <w:rPr>
                <w:rFonts w:hint="eastAsia" w:ascii="宋体" w:hAnsi="宋体" w:eastAsia="宋体" w:cs="宋体"/>
                <w:color w:val="000000"/>
                <w:kern w:val="0"/>
                <w:sz w:val="24"/>
                <w:lang w:bidi="ar"/>
              </w:rPr>
              <w:t>价格分</w:t>
            </w:r>
          </w:p>
          <w:p>
            <w:pPr>
              <w:widowControl/>
              <w:spacing w:line="360" w:lineRule="auto"/>
              <w:jc w:val="left"/>
            </w:pPr>
            <w:r>
              <w:rPr>
                <w:rFonts w:hint="eastAsia" w:ascii="宋体" w:hAnsi="宋体" w:eastAsia="宋体" w:cs="宋体"/>
                <w:color w:val="000000"/>
                <w:kern w:val="0"/>
                <w:sz w:val="24"/>
                <w:lang w:bidi="ar"/>
              </w:rPr>
              <w:t>（70分</w:t>
            </w:r>
            <w:r>
              <w:rPr>
                <w:rFonts w:hint="eastAsia" w:ascii="宋体" w:hAnsi="宋体" w:cs="宋体"/>
                <w:sz w:val="24"/>
              </w:rPr>
              <w:t>）</w:t>
            </w:r>
          </w:p>
        </w:tc>
        <w:tc>
          <w:tcPr>
            <w:tcW w:w="7300" w:type="dxa"/>
            <w:gridSpan w:val="3"/>
            <w:vAlign w:val="center"/>
          </w:tcPr>
          <w:p>
            <w:pPr>
              <w:pStyle w:val="12"/>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价格分统一采用低价优先法，即满足招标文件要求且投标价格最低的投标报价为评标基准价，其价格分为满分70分。其他投标人的价格分统一按照下列公式计算:投标报价得分=(评标基准价/投标报价)x70%x100</w:t>
            </w:r>
          </w:p>
        </w:tc>
      </w:tr>
    </w:tbl>
    <w:p>
      <w:pPr>
        <w:pStyle w:val="2"/>
        <w:spacing w:line="360" w:lineRule="auto"/>
      </w:pPr>
    </w:p>
    <w:p>
      <w:pPr>
        <w:pStyle w:val="3"/>
      </w:pPr>
    </w:p>
    <w:p/>
    <w:p/>
    <w:p>
      <w:pPr>
        <w:widowControl/>
        <w:spacing w:line="360" w:lineRule="auto"/>
        <w:ind w:firstLine="480" w:firstLineChars="200"/>
        <w:jc w:val="left"/>
        <w:rPr>
          <w:rFonts w:asciiTheme="minorEastAsia" w:hAnsiTheme="minorEastAsia" w:eastAsiaTheme="minorEastAsia" w:cstheme="minorEastAsia"/>
          <w:snapToGrid w:val="0"/>
          <w:color w:val="000000"/>
          <w:kern w:val="0"/>
          <w:sz w:val="24"/>
          <w:lang w:bidi="ar"/>
        </w:rPr>
      </w:pPr>
    </w:p>
    <w:p>
      <w:pPr>
        <w:widowControl/>
        <w:spacing w:line="360" w:lineRule="auto"/>
        <w:ind w:firstLine="480" w:firstLineChars="200"/>
        <w:jc w:val="left"/>
        <w:rPr>
          <w:rFonts w:asciiTheme="minorEastAsia" w:hAnsiTheme="minorEastAsia" w:eastAsiaTheme="minorEastAsia" w:cstheme="minorEastAsia"/>
          <w:snapToGrid w:val="0"/>
          <w:color w:val="000000"/>
          <w:kern w:val="0"/>
          <w:sz w:val="24"/>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lY2I2MjI0MzA1MzI5Y2U0MTYyYjZiY2I4NjRiMWMifQ=="/>
  </w:docVars>
  <w:rsids>
    <w:rsidRoot w:val="61C530DE"/>
    <w:rsid w:val="00250772"/>
    <w:rsid w:val="00766DBC"/>
    <w:rsid w:val="01F4019D"/>
    <w:rsid w:val="02CB619B"/>
    <w:rsid w:val="056621AB"/>
    <w:rsid w:val="07D77390"/>
    <w:rsid w:val="08387E2F"/>
    <w:rsid w:val="0DF91E0E"/>
    <w:rsid w:val="11D861DF"/>
    <w:rsid w:val="18954E2A"/>
    <w:rsid w:val="18FF04F5"/>
    <w:rsid w:val="19C77265"/>
    <w:rsid w:val="1AB71087"/>
    <w:rsid w:val="20AA51EA"/>
    <w:rsid w:val="23490170"/>
    <w:rsid w:val="23D902C0"/>
    <w:rsid w:val="247B1377"/>
    <w:rsid w:val="2B400C25"/>
    <w:rsid w:val="2BC27ED3"/>
    <w:rsid w:val="2BC730F4"/>
    <w:rsid w:val="2D522E91"/>
    <w:rsid w:val="30B55C11"/>
    <w:rsid w:val="386D5023"/>
    <w:rsid w:val="38CA4224"/>
    <w:rsid w:val="3A1F234D"/>
    <w:rsid w:val="3E66679D"/>
    <w:rsid w:val="3EC11C25"/>
    <w:rsid w:val="3F1104B7"/>
    <w:rsid w:val="44B70164"/>
    <w:rsid w:val="46362EF9"/>
    <w:rsid w:val="46A41C10"/>
    <w:rsid w:val="49184B37"/>
    <w:rsid w:val="4F416B96"/>
    <w:rsid w:val="54905D84"/>
    <w:rsid w:val="56F027E1"/>
    <w:rsid w:val="57553BBA"/>
    <w:rsid w:val="57CE11E3"/>
    <w:rsid w:val="58226E39"/>
    <w:rsid w:val="5B3C2907"/>
    <w:rsid w:val="5DED613B"/>
    <w:rsid w:val="5EE70DDC"/>
    <w:rsid w:val="61363955"/>
    <w:rsid w:val="61C530DE"/>
    <w:rsid w:val="623C143F"/>
    <w:rsid w:val="624A3B5C"/>
    <w:rsid w:val="65BD2897"/>
    <w:rsid w:val="68ED3493"/>
    <w:rsid w:val="6C69186D"/>
    <w:rsid w:val="6D205BE5"/>
    <w:rsid w:val="6F40256E"/>
    <w:rsid w:val="70BD7BEF"/>
    <w:rsid w:val="72D1685A"/>
    <w:rsid w:val="75524DAA"/>
    <w:rsid w:val="755F74C6"/>
    <w:rsid w:val="7A4078C7"/>
    <w:rsid w:val="7BDD11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等线" w:cs="Times New Roman"/>
      <w:kern w:val="2"/>
      <w:sz w:val="21"/>
      <w:szCs w:val="24"/>
      <w:lang w:val="en-US" w:eastAsia="zh-CN" w:bidi="ar-SA"/>
    </w:rPr>
  </w:style>
  <w:style w:type="character" w:default="1" w:styleId="10">
    <w:name w:val="Default Paragraph Font"/>
    <w:semiHidden/>
    <w:unhideWhenUsed/>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1"/>
    <w:pPr>
      <w:ind w:left="762"/>
    </w:pPr>
    <w:rPr>
      <w:rFonts w:ascii="宋体" w:hAnsi="宋体" w:eastAsia="宋体" w:cs="宋体"/>
      <w:sz w:val="24"/>
      <w:lang w:val="zh-CN" w:bidi="zh-CN"/>
    </w:rPr>
  </w:style>
  <w:style w:type="paragraph" w:styleId="3">
    <w:name w:val="Date"/>
    <w:basedOn w:val="1"/>
    <w:next w:val="1"/>
    <w:qFormat/>
    <w:uiPriority w:val="0"/>
    <w:rPr>
      <w:rFonts w:ascii="Arial" w:hAnsi="Arial" w:cs="Arial"/>
      <w:b/>
      <w:sz w:val="28"/>
      <w:szCs w:val="20"/>
    </w:rPr>
  </w:style>
  <w:style w:type="paragraph" w:styleId="4">
    <w:name w:val="Body Text Indent"/>
    <w:basedOn w:val="1"/>
    <w:next w:val="5"/>
    <w:autoRedefine/>
    <w:unhideWhenUsed/>
    <w:qFormat/>
    <w:uiPriority w:val="99"/>
    <w:pPr>
      <w:spacing w:after="120"/>
      <w:ind w:left="420" w:leftChars="200"/>
    </w:pPr>
  </w:style>
  <w:style w:type="paragraph" w:styleId="5">
    <w:name w:val="envelope return"/>
    <w:basedOn w:val="1"/>
    <w:autoRedefine/>
    <w:qFormat/>
    <w:uiPriority w:val="0"/>
    <w:pPr>
      <w:snapToGrid w:val="0"/>
    </w:pPr>
    <w:rPr>
      <w:rFonts w:ascii="Arial" w:hAnsi="Arial" w:cs="Arial"/>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Body Text First Indent 2"/>
    <w:basedOn w:val="4"/>
    <w:next w:val="1"/>
    <w:autoRedefine/>
    <w:unhideWhenUsed/>
    <w:qFormat/>
    <w:uiPriority w:val="99"/>
    <w:pPr>
      <w:widowControl/>
      <w:kinsoku w:val="0"/>
      <w:autoSpaceDE w:val="0"/>
      <w:autoSpaceDN w:val="0"/>
      <w:adjustRightInd w:val="0"/>
      <w:snapToGrid w:val="0"/>
      <w:ind w:firstLine="420" w:firstLineChars="200"/>
      <w:jc w:val="left"/>
      <w:textAlignment w:val="baseline"/>
    </w:pPr>
    <w:rPr>
      <w:rFonts w:ascii="Arial" w:hAnsi="Arial" w:eastAsia="Arial" w:cs="Arial"/>
      <w:snapToGrid w:val="0"/>
      <w:color w:val="000000"/>
      <w:kern w:val="0"/>
      <w:szCs w:val="21"/>
    </w:rPr>
  </w:style>
  <w:style w:type="paragraph" w:customStyle="1" w:styleId="11">
    <w:name w:val="D&amp;L"/>
    <w:basedOn w:val="7"/>
    <w:autoRedefine/>
    <w:qFormat/>
    <w:uiPriority w:val="0"/>
    <w:pPr>
      <w:pBdr>
        <w:bottom w:val="thinThickSmallGap" w:color="auto" w:sz="18" w:space="1"/>
      </w:pBdr>
      <w:adjustRightInd w:val="0"/>
      <w:snapToGrid/>
      <w:spacing w:line="240" w:lineRule="atLeast"/>
      <w:textAlignment w:val="baseline"/>
    </w:pPr>
    <w:rPr>
      <w:rFonts w:ascii="@仿宋_GB2312" w:hAnsi="@仿宋_GB2312" w:eastAsia="@仿宋_GB2312" w:cs="@仿宋_GB2312"/>
      <w:kern w:val="0"/>
      <w:sz w:val="24"/>
      <w:szCs w:val="20"/>
    </w:rPr>
  </w:style>
  <w:style w:type="paragraph" w:styleId="12">
    <w:name w:val="No Spacing"/>
    <w:autoRedefine/>
    <w:qFormat/>
    <w:uiPriority w:val="1"/>
    <w:rPr>
      <w:rFonts w:ascii="Calibri" w:hAnsi="Calibri" w:eastAsia="等线" w:cs="Times New Roman"/>
      <w:sz w:val="22"/>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337</Words>
  <Characters>1925</Characters>
  <Lines>16</Lines>
  <Paragraphs>4</Paragraphs>
  <TotalTime>49</TotalTime>
  <ScaleCrop>false</ScaleCrop>
  <LinksUpToDate>false</LinksUpToDate>
  <CharactersWithSpaces>2258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2024-04-28T02:59:00Z</dcterms:created>
  <dc:creator>小虎牙</dc:creator>
  <cp:lastModifiedBy>小虎牙</cp:lastModifiedBy>
  <cp:lastPrinted>2024-04-29T02:24:00Z</cp:lastPrinted>
  <dcterms:modified xsi:type="dcterms:W3CDTF">2024-04-30T03:11:39Z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D823A2F8B28A476B981B205938140EA8_13</vt:lpwstr>
  </property>
</Properties>
</file>